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22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8220D"/>
          <w:spacing w:val="0"/>
          <w:kern w:val="44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220D"/>
          <w:spacing w:val="0"/>
          <w:kern w:val="44"/>
          <w:sz w:val="28"/>
          <w:szCs w:val="28"/>
          <w:lang w:val="en-US" w:eastAsia="zh-CN" w:bidi="ar"/>
        </w:rPr>
        <w:t>附件1 本学期常规工作安排时间表（如有调整，以学校学院通知为准）</w:t>
      </w:r>
    </w:p>
    <w:tbl>
      <w:tblPr>
        <w:tblStyle w:val="4"/>
        <w:tblW w:w="846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6489"/>
      </w:tblGrid>
      <w:tr w14:paraId="728552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noWrap w:val="0"/>
            <w:vAlign w:val="center"/>
          </w:tcPr>
          <w:p w14:paraId="5DE34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6489" w:type="dxa"/>
            <w:noWrap w:val="0"/>
            <w:vAlign w:val="center"/>
          </w:tcPr>
          <w:p w14:paraId="63F54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工作内容</w:t>
            </w:r>
          </w:p>
        </w:tc>
      </w:tr>
      <w:tr w14:paraId="38AF51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Merge w:val="restart"/>
            <w:noWrap w:val="0"/>
            <w:vAlign w:val="center"/>
          </w:tcPr>
          <w:p w14:paraId="0C86B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2024年9月</w:t>
            </w:r>
          </w:p>
        </w:tc>
        <w:tc>
          <w:tcPr>
            <w:tcW w:w="6489" w:type="dxa"/>
            <w:noWrap w:val="0"/>
            <w:vAlign w:val="center"/>
          </w:tcPr>
          <w:p w14:paraId="39307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2024级人才培养方案论证材料上交</w:t>
            </w:r>
          </w:p>
        </w:tc>
      </w:tr>
      <w:tr w14:paraId="6502F4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 w14:paraId="53169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89" w:type="dxa"/>
            <w:noWrap w:val="0"/>
            <w:vAlign w:val="center"/>
          </w:tcPr>
          <w:p w14:paraId="06E55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学生选课信息调整及学生选课补退选</w:t>
            </w:r>
          </w:p>
        </w:tc>
      </w:tr>
      <w:tr w14:paraId="1CC013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 w14:paraId="4AEE3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89" w:type="dxa"/>
            <w:tcBorders>
              <w:bottom w:val="single" w:color="auto" w:sz="4" w:space="0"/>
            </w:tcBorders>
            <w:noWrap w:val="0"/>
            <w:vAlign w:val="center"/>
          </w:tcPr>
          <w:p w14:paraId="62915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开学补考及学籍异动处理</w:t>
            </w:r>
          </w:p>
        </w:tc>
      </w:tr>
      <w:tr w14:paraId="62B950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 w14:paraId="07E9D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6B4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2024届毕业生毕业论文抽检、2025届毕业生毕业论文启动</w:t>
            </w:r>
          </w:p>
        </w:tc>
      </w:tr>
      <w:tr w14:paraId="7F1FA7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 w14:paraId="71BE8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D45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5.师范专业学生进校实习</w:t>
            </w:r>
          </w:p>
        </w:tc>
      </w:tr>
      <w:tr w14:paraId="5823CB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 w14:paraId="6BA73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B77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6、计算机等级考试、大学英语等级考试、普通话水平测试考试、师范生教师资格证考试报名；</w:t>
            </w:r>
          </w:p>
        </w:tc>
      </w:tr>
      <w:tr w14:paraId="5AEDD1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 w14:paraId="58EA5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383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7、教育部产学研协同育人项目申报（以通知为准）</w:t>
            </w:r>
          </w:p>
        </w:tc>
      </w:tr>
      <w:tr w14:paraId="798BFE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 w14:paraId="733CA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5A2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8、2022年省级课程思政项目验收、校级课程建设申报、各类教材建设项目进展检查</w:t>
            </w:r>
          </w:p>
        </w:tc>
      </w:tr>
      <w:tr w14:paraId="773899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Merge w:val="restart"/>
            <w:noWrap w:val="0"/>
            <w:vAlign w:val="center"/>
          </w:tcPr>
          <w:p w14:paraId="73FE0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2024年10月</w:t>
            </w:r>
          </w:p>
        </w:tc>
        <w:tc>
          <w:tcPr>
            <w:tcW w:w="6489" w:type="dxa"/>
            <w:noWrap w:val="0"/>
            <w:vAlign w:val="center"/>
          </w:tcPr>
          <w:p w14:paraId="7BB13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各教学单位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核对学期开课计划，需要调整的，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提交《宁波职业技术学院教学计划调整审批表》至教务处（招生办）</w:t>
            </w:r>
          </w:p>
        </w:tc>
      </w:tr>
      <w:tr w14:paraId="44FAD8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 w14:paraId="1810C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89" w:type="dxa"/>
            <w:noWrap w:val="0"/>
            <w:vAlign w:val="center"/>
          </w:tcPr>
          <w:p w14:paraId="617C2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各教学单位报送任务落实清单至教务处（招生办）</w:t>
            </w:r>
          </w:p>
        </w:tc>
      </w:tr>
      <w:tr w14:paraId="40C7F4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Merge w:val="restart"/>
            <w:noWrap w:val="0"/>
            <w:vAlign w:val="center"/>
          </w:tcPr>
          <w:p w14:paraId="0E3A8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2024年11月</w:t>
            </w:r>
          </w:p>
        </w:tc>
        <w:tc>
          <w:tcPr>
            <w:tcW w:w="6489" w:type="dxa"/>
            <w:tcBorders>
              <w:bottom w:val="single" w:color="auto" w:sz="4" w:space="0"/>
            </w:tcBorders>
            <w:noWrap w:val="0"/>
            <w:vAlign w:val="center"/>
          </w:tcPr>
          <w:p w14:paraId="2B74B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公共教学部（军体部）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报送下学期体育课的具体安排</w:t>
            </w:r>
          </w:p>
        </w:tc>
      </w:tr>
      <w:tr w14:paraId="7B6B15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Merge w:val="continue"/>
            <w:noWrap w:val="0"/>
            <w:vAlign w:val="center"/>
          </w:tcPr>
          <w:p w14:paraId="5522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color="auto" w:sz="4" w:space="0"/>
            </w:tcBorders>
            <w:noWrap w:val="0"/>
            <w:vAlign w:val="center"/>
          </w:tcPr>
          <w:p w14:paraId="1CE12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2.核对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实习实践教学任务</w:t>
            </w:r>
          </w:p>
        </w:tc>
      </w:tr>
      <w:tr w14:paraId="6B0701D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noWrap w:val="0"/>
            <w:vAlign w:val="center"/>
          </w:tcPr>
          <w:p w14:paraId="3435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2024年12月</w:t>
            </w:r>
          </w:p>
        </w:tc>
        <w:tc>
          <w:tcPr>
            <w:tcW w:w="6489" w:type="dxa"/>
            <w:noWrap w:val="0"/>
            <w:vAlign w:val="center"/>
          </w:tcPr>
          <w:p w14:paraId="0F612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编排课表，形成下学期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老生/新生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课表初稿</w:t>
            </w:r>
          </w:p>
        </w:tc>
      </w:tr>
      <w:tr w14:paraId="5BAADE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noWrap w:val="0"/>
            <w:vAlign w:val="center"/>
          </w:tcPr>
          <w:p w14:paraId="4C66C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2025年1月</w:t>
            </w:r>
          </w:p>
        </w:tc>
        <w:tc>
          <w:tcPr>
            <w:tcW w:w="6489" w:type="dxa"/>
            <w:noWrap w:val="0"/>
            <w:vAlign w:val="center"/>
          </w:tcPr>
          <w:p w14:paraId="12D82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各教学单位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组织任课教师核对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老生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/新生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课表，结果汇总后报送教务处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（招生办）</w:t>
            </w:r>
          </w:p>
        </w:tc>
      </w:tr>
    </w:tbl>
    <w:p w14:paraId="135E0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38220D"/>
          <w:spacing w:val="0"/>
          <w:kern w:val="44"/>
          <w:sz w:val="28"/>
          <w:szCs w:val="28"/>
          <w:lang w:val="en-US" w:eastAsia="zh-CN" w:bidi="ar"/>
        </w:rPr>
      </w:pPr>
    </w:p>
    <w:p w14:paraId="1A8D1F80">
      <w:pPr>
        <w:pStyle w:val="2"/>
        <w:rPr>
          <w:rFonts w:hint="default" w:ascii="仿宋" w:hAnsi="仿宋" w:eastAsia="仿宋" w:cs="仿宋"/>
          <w:b/>
          <w:bCs/>
          <w:i w:val="0"/>
          <w:iCs w:val="0"/>
          <w:caps w:val="0"/>
          <w:color w:val="38220D"/>
          <w:spacing w:val="0"/>
          <w:kern w:val="44"/>
          <w:sz w:val="28"/>
          <w:szCs w:val="28"/>
          <w:lang w:val="en-US" w:eastAsia="zh-CN" w:bidi="ar"/>
        </w:rPr>
      </w:pPr>
    </w:p>
    <w:p w14:paraId="3AA94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220D"/>
          <w:spacing w:val="0"/>
          <w:kern w:val="44"/>
          <w:sz w:val="28"/>
          <w:szCs w:val="28"/>
          <w:lang w:val="en-US" w:eastAsia="zh-CN" w:bidi="ar"/>
        </w:rPr>
        <w:t>附件2 湖州师范学院智慧课堂建设基本要求</w:t>
      </w:r>
    </w:p>
    <w:p w14:paraId="2B20B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一、基本</w:t>
      </w:r>
      <w:r>
        <w:rPr>
          <w:rFonts w:hint="eastAsia" w:ascii="黑体" w:hAnsi="黑体" w:eastAsia="黑体"/>
          <w:color w:val="auto"/>
          <w:sz w:val="28"/>
          <w:szCs w:val="28"/>
        </w:rPr>
        <w:t>标准</w:t>
      </w:r>
    </w:p>
    <w:p w14:paraId="67E7B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1.课程落实教育方针、课程思政精神，</w:t>
      </w:r>
      <w:r>
        <w:rPr>
          <w:rFonts w:hint="eastAsia"/>
          <w:color w:val="auto"/>
          <w:sz w:val="28"/>
          <w:szCs w:val="28"/>
        </w:rPr>
        <w:t>不</w:t>
      </w:r>
      <w:r>
        <w:rPr>
          <w:color w:val="auto"/>
          <w:sz w:val="28"/>
          <w:szCs w:val="28"/>
        </w:rPr>
        <w:t>存在政治性、思想性等问题，</w:t>
      </w:r>
      <w:r>
        <w:rPr>
          <w:rFonts w:hint="eastAsia"/>
          <w:color w:val="auto"/>
          <w:sz w:val="28"/>
          <w:szCs w:val="28"/>
          <w:lang w:val="en-US" w:eastAsia="zh-CN"/>
        </w:rPr>
        <w:t>不</w:t>
      </w:r>
      <w:r>
        <w:rPr>
          <w:color w:val="auto"/>
          <w:sz w:val="28"/>
          <w:szCs w:val="28"/>
        </w:rPr>
        <w:t>存在侵犯知识产权、肖像权以及其他与现行法律法规相悖的问题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 w14:paraId="493539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2.课程</w:t>
      </w:r>
      <w:r>
        <w:rPr>
          <w:rFonts w:hint="eastAsia"/>
          <w:color w:val="auto"/>
          <w:sz w:val="28"/>
          <w:szCs w:val="28"/>
        </w:rPr>
        <w:t>建</w:t>
      </w:r>
      <w:r>
        <w:rPr>
          <w:color w:val="auto"/>
          <w:sz w:val="28"/>
          <w:szCs w:val="28"/>
        </w:rPr>
        <w:t>成MOOC</w:t>
      </w:r>
      <w:r>
        <w:rPr>
          <w:rFonts w:hint="eastAsia"/>
          <w:color w:val="auto"/>
          <w:sz w:val="28"/>
          <w:szCs w:val="28"/>
          <w:lang w:val="en-US" w:eastAsia="zh-CN"/>
        </w:rPr>
        <w:t>/SPOC</w:t>
      </w:r>
      <w:r>
        <w:rPr>
          <w:rFonts w:hint="eastAsia"/>
          <w:color w:val="auto"/>
          <w:sz w:val="28"/>
          <w:szCs w:val="28"/>
        </w:rPr>
        <w:t>，并</w:t>
      </w:r>
      <w:r>
        <w:rPr>
          <w:color w:val="auto"/>
          <w:sz w:val="28"/>
          <w:szCs w:val="28"/>
        </w:rPr>
        <w:t>至少</w:t>
      </w:r>
      <w:r>
        <w:rPr>
          <w:rFonts w:hint="eastAsia"/>
          <w:color w:val="auto"/>
          <w:sz w:val="28"/>
          <w:szCs w:val="28"/>
          <w:lang w:eastAsia="zh-CN"/>
        </w:rPr>
        <w:t>完整</w:t>
      </w:r>
      <w:r>
        <w:rPr>
          <w:rFonts w:hint="eastAsia"/>
          <w:color w:val="auto"/>
          <w:sz w:val="28"/>
          <w:szCs w:val="28"/>
        </w:rPr>
        <w:t>开设</w:t>
      </w:r>
      <w:r>
        <w:rPr>
          <w:rFonts w:hint="eastAsia"/>
          <w:color w:val="auto"/>
          <w:sz w:val="28"/>
          <w:szCs w:val="28"/>
          <w:lang w:eastAsia="zh-CN"/>
        </w:rPr>
        <w:t>运行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color w:val="auto"/>
          <w:sz w:val="28"/>
          <w:szCs w:val="28"/>
          <w:lang w:eastAsia="zh-CN"/>
        </w:rPr>
        <w:t>学期</w:t>
      </w:r>
      <w:r>
        <w:rPr>
          <w:color w:val="auto"/>
          <w:sz w:val="28"/>
          <w:szCs w:val="28"/>
        </w:rPr>
        <w:t>。</w:t>
      </w:r>
    </w:p>
    <w:p w14:paraId="664FF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</w:t>
      </w:r>
      <w:r>
        <w:rPr>
          <w:rFonts w:hint="eastAsia"/>
          <w:color w:val="auto"/>
          <w:sz w:val="28"/>
          <w:szCs w:val="28"/>
        </w:rPr>
        <w:t>课程</w:t>
      </w:r>
      <w:r>
        <w:rPr>
          <w:color w:val="auto"/>
          <w:sz w:val="28"/>
          <w:szCs w:val="28"/>
        </w:rPr>
        <w:t>介绍</w:t>
      </w:r>
      <w:r>
        <w:rPr>
          <w:rFonts w:hint="eastAsia"/>
          <w:color w:val="auto"/>
          <w:sz w:val="28"/>
          <w:szCs w:val="28"/>
        </w:rPr>
        <w:t>、</w:t>
      </w:r>
      <w:r>
        <w:rPr>
          <w:color w:val="auto"/>
          <w:sz w:val="28"/>
          <w:szCs w:val="28"/>
        </w:rPr>
        <w:t>课程团队</w:t>
      </w:r>
      <w:r>
        <w:rPr>
          <w:rFonts w:hint="eastAsia"/>
          <w:color w:val="auto"/>
          <w:sz w:val="28"/>
          <w:szCs w:val="28"/>
        </w:rPr>
        <w:t>等</w:t>
      </w:r>
      <w:r>
        <w:rPr>
          <w:color w:val="auto"/>
          <w:sz w:val="28"/>
          <w:szCs w:val="28"/>
        </w:rPr>
        <w:t>信息完整，视</w:t>
      </w:r>
      <w:r>
        <w:rPr>
          <w:rFonts w:hint="eastAsia"/>
          <w:color w:val="auto"/>
          <w:sz w:val="28"/>
          <w:szCs w:val="28"/>
        </w:rPr>
        <w:t>音</w:t>
      </w:r>
      <w:r>
        <w:rPr>
          <w:color w:val="auto"/>
          <w:sz w:val="28"/>
          <w:szCs w:val="28"/>
        </w:rPr>
        <w:t>频、图片</w:t>
      </w:r>
      <w:r>
        <w:rPr>
          <w:rFonts w:hint="eastAsia"/>
          <w:color w:val="auto"/>
          <w:sz w:val="28"/>
          <w:szCs w:val="28"/>
        </w:rPr>
        <w:t>、</w:t>
      </w:r>
      <w:r>
        <w:rPr>
          <w:color w:val="auto"/>
          <w:sz w:val="28"/>
          <w:szCs w:val="28"/>
        </w:rPr>
        <w:t>文字清晰。</w:t>
      </w:r>
    </w:p>
    <w:p w14:paraId="5D9B4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</w:t>
      </w:r>
      <w:r>
        <w:rPr>
          <w:color w:val="auto"/>
          <w:sz w:val="28"/>
          <w:szCs w:val="28"/>
        </w:rPr>
        <w:t>课程负责人</w:t>
      </w:r>
      <w:r>
        <w:rPr>
          <w:rFonts w:hint="eastAsia"/>
          <w:color w:val="auto"/>
          <w:sz w:val="28"/>
          <w:szCs w:val="28"/>
        </w:rPr>
        <w:t>原则</w:t>
      </w:r>
      <w:r>
        <w:rPr>
          <w:color w:val="auto"/>
          <w:sz w:val="28"/>
          <w:szCs w:val="28"/>
        </w:rPr>
        <w:t>上</w:t>
      </w:r>
      <w:r>
        <w:rPr>
          <w:rFonts w:hint="eastAsia"/>
          <w:color w:val="auto"/>
          <w:sz w:val="28"/>
          <w:szCs w:val="28"/>
        </w:rPr>
        <w:t>需</w:t>
      </w:r>
      <w:r>
        <w:rPr>
          <w:color w:val="auto"/>
          <w:sz w:val="28"/>
          <w:szCs w:val="28"/>
        </w:rPr>
        <w:t>至少完成课程讲述</w:t>
      </w:r>
      <w:r>
        <w:rPr>
          <w:rFonts w:hint="eastAsia"/>
          <w:color w:val="auto"/>
          <w:sz w:val="28"/>
          <w:szCs w:val="28"/>
          <w:lang w:val="en-US" w:eastAsia="zh-CN"/>
        </w:rPr>
        <w:t>的</w:t>
      </w:r>
      <w:r>
        <w:rPr>
          <w:rFonts w:hint="eastAsia"/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/3</w:t>
      </w:r>
      <w:r>
        <w:rPr>
          <w:rFonts w:hint="eastAsia"/>
          <w:color w:val="auto"/>
          <w:sz w:val="28"/>
          <w:szCs w:val="28"/>
        </w:rPr>
        <w:t>。</w:t>
      </w:r>
    </w:p>
    <w:p w14:paraId="702FA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5.</w:t>
      </w:r>
      <w:r>
        <w:rPr>
          <w:color w:val="auto"/>
          <w:sz w:val="28"/>
          <w:szCs w:val="28"/>
        </w:rPr>
        <w:t>视频</w:t>
      </w:r>
      <w:r>
        <w:rPr>
          <w:rFonts w:hint="eastAsia"/>
          <w:color w:val="auto"/>
          <w:sz w:val="28"/>
          <w:szCs w:val="28"/>
          <w:lang w:val="en-US" w:eastAsia="zh-CN"/>
        </w:rPr>
        <w:t>总</w:t>
      </w:r>
      <w:r>
        <w:rPr>
          <w:rFonts w:hint="eastAsia"/>
          <w:color w:val="auto"/>
          <w:sz w:val="28"/>
          <w:szCs w:val="28"/>
        </w:rPr>
        <w:t>时长≥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>200</w:t>
      </w:r>
      <w:r>
        <w:rPr>
          <w:color w:val="auto"/>
          <w:sz w:val="28"/>
          <w:szCs w:val="28"/>
        </w:rPr>
        <w:t>分钟，</w:t>
      </w:r>
      <w:r>
        <w:rPr>
          <w:rFonts w:hint="eastAsia"/>
          <w:color w:val="auto"/>
          <w:sz w:val="28"/>
          <w:szCs w:val="28"/>
        </w:rPr>
        <w:t>课程</w:t>
      </w:r>
      <w:r>
        <w:rPr>
          <w:color w:val="auto"/>
          <w:sz w:val="28"/>
          <w:szCs w:val="28"/>
        </w:rPr>
        <w:t>视频</w:t>
      </w:r>
      <w:r>
        <w:rPr>
          <w:rFonts w:hint="eastAsia"/>
          <w:color w:val="auto"/>
          <w:sz w:val="28"/>
          <w:szCs w:val="28"/>
        </w:rPr>
        <w:t>数≥10</w:t>
      </w:r>
      <w:r>
        <w:rPr>
          <w:rFonts w:hint="eastAsia"/>
          <w:color w:val="auto"/>
          <w:sz w:val="28"/>
          <w:szCs w:val="28"/>
          <w:lang w:val="en-US" w:eastAsia="zh-CN"/>
        </w:rPr>
        <w:t>个</w:t>
      </w:r>
      <w:r>
        <w:rPr>
          <w:rFonts w:hint="eastAsia"/>
          <w:color w:val="auto"/>
          <w:sz w:val="28"/>
          <w:szCs w:val="28"/>
        </w:rPr>
        <w:t>。单个视频时长5</w:t>
      </w:r>
      <w:r>
        <w:rPr>
          <w:rFonts w:hint="eastAsia"/>
          <w:color w:val="auto"/>
          <w:sz w:val="28"/>
          <w:szCs w:val="28"/>
          <w:lang w:val="en-US" w:eastAsia="zh-CN"/>
        </w:rPr>
        <w:t>-</w:t>
      </w:r>
      <w:r>
        <w:rPr>
          <w:rFonts w:hint="eastAsia"/>
          <w:color w:val="auto"/>
          <w:sz w:val="28"/>
          <w:szCs w:val="28"/>
        </w:rPr>
        <w:t>15分钟</w:t>
      </w:r>
      <w:r>
        <w:rPr>
          <w:rFonts w:hint="eastAsia"/>
          <w:color w:val="auto"/>
          <w:sz w:val="28"/>
          <w:szCs w:val="28"/>
          <w:lang w:eastAsia="zh-CN"/>
        </w:rPr>
        <w:t>。</w:t>
      </w:r>
      <w:r>
        <w:rPr>
          <w:rFonts w:hint="eastAsia"/>
          <w:color w:val="auto"/>
          <w:sz w:val="28"/>
          <w:szCs w:val="28"/>
        </w:rPr>
        <w:t>引用其他视频资源时长不得超过</w:t>
      </w:r>
      <w:r>
        <w:rPr>
          <w:rFonts w:hint="eastAsia"/>
          <w:color w:val="auto"/>
          <w:sz w:val="28"/>
          <w:szCs w:val="28"/>
          <w:lang w:eastAsia="zh-CN"/>
        </w:rPr>
        <w:t>总</w:t>
      </w:r>
      <w:r>
        <w:rPr>
          <w:rFonts w:hint="eastAsia"/>
          <w:color w:val="auto"/>
          <w:sz w:val="28"/>
          <w:szCs w:val="28"/>
        </w:rPr>
        <w:t>视频时长的 20%。</w:t>
      </w:r>
    </w:p>
    <w:p w14:paraId="46362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6.</w:t>
      </w:r>
      <w:r>
        <w:rPr>
          <w:rFonts w:hint="eastAsia"/>
          <w:color w:val="auto"/>
          <w:sz w:val="28"/>
          <w:szCs w:val="28"/>
        </w:rPr>
        <w:t>课程</w:t>
      </w:r>
      <w:r>
        <w:rPr>
          <w:color w:val="auto"/>
          <w:sz w:val="28"/>
          <w:szCs w:val="28"/>
        </w:rPr>
        <w:t>内容</w:t>
      </w:r>
      <w:r>
        <w:rPr>
          <w:rFonts w:hint="eastAsia"/>
          <w:color w:val="auto"/>
          <w:sz w:val="28"/>
          <w:szCs w:val="28"/>
        </w:rPr>
        <w:t>与教学</w:t>
      </w:r>
      <w:r>
        <w:rPr>
          <w:color w:val="auto"/>
          <w:sz w:val="28"/>
          <w:szCs w:val="28"/>
        </w:rPr>
        <w:t>大纲匹配，</w:t>
      </w:r>
      <w:r>
        <w:rPr>
          <w:rFonts w:hint="eastAsia"/>
          <w:color w:val="auto"/>
          <w:sz w:val="28"/>
          <w:szCs w:val="28"/>
          <w:lang w:val="en-US" w:eastAsia="zh-CN"/>
        </w:rPr>
        <w:t>课程内容</w:t>
      </w:r>
      <w:r>
        <w:rPr>
          <w:color w:val="auto"/>
          <w:sz w:val="28"/>
          <w:szCs w:val="28"/>
        </w:rPr>
        <w:t>原则上</w:t>
      </w:r>
      <w:r>
        <w:rPr>
          <w:rFonts w:hint="eastAsia"/>
          <w:color w:val="auto"/>
          <w:sz w:val="28"/>
          <w:szCs w:val="28"/>
        </w:rPr>
        <w:t>不少于6章，原则</w:t>
      </w:r>
      <w:r>
        <w:rPr>
          <w:color w:val="auto"/>
          <w:sz w:val="28"/>
          <w:szCs w:val="28"/>
        </w:rPr>
        <w:t>上</w:t>
      </w:r>
      <w:r>
        <w:rPr>
          <w:rFonts w:hint="eastAsia"/>
          <w:color w:val="auto"/>
          <w:sz w:val="28"/>
          <w:szCs w:val="28"/>
        </w:rPr>
        <w:t>70%以上的</w:t>
      </w:r>
      <w:r>
        <w:rPr>
          <w:rFonts w:hint="eastAsia"/>
          <w:color w:val="auto"/>
          <w:sz w:val="28"/>
          <w:szCs w:val="28"/>
          <w:lang w:eastAsia="zh-CN"/>
        </w:rPr>
        <w:t>“</w:t>
      </w:r>
      <w:r>
        <w:rPr>
          <w:rFonts w:hint="eastAsia"/>
          <w:color w:val="auto"/>
          <w:sz w:val="28"/>
          <w:szCs w:val="28"/>
        </w:rPr>
        <w:t>章</w:t>
      </w:r>
      <w:r>
        <w:rPr>
          <w:rFonts w:hint="eastAsia"/>
          <w:color w:val="auto"/>
          <w:sz w:val="28"/>
          <w:szCs w:val="28"/>
          <w:lang w:eastAsia="zh-CN"/>
        </w:rPr>
        <w:t>”</w:t>
      </w:r>
      <w:r>
        <w:rPr>
          <w:rFonts w:hint="eastAsia"/>
          <w:color w:val="auto"/>
          <w:sz w:val="28"/>
          <w:szCs w:val="28"/>
          <w:lang w:val="en-US" w:eastAsia="zh-CN"/>
        </w:rPr>
        <w:t>下面的“</w:t>
      </w:r>
      <w:r>
        <w:rPr>
          <w:rFonts w:hint="eastAsia"/>
          <w:color w:val="auto"/>
          <w:sz w:val="28"/>
          <w:szCs w:val="28"/>
        </w:rPr>
        <w:t>节</w:t>
      </w:r>
      <w:r>
        <w:rPr>
          <w:rFonts w:hint="eastAsia"/>
          <w:color w:val="auto"/>
          <w:sz w:val="28"/>
          <w:szCs w:val="28"/>
          <w:lang w:eastAsia="zh-CN"/>
        </w:rPr>
        <w:t>”</w:t>
      </w:r>
      <w:r>
        <w:rPr>
          <w:rFonts w:hint="eastAsia"/>
          <w:color w:val="auto"/>
          <w:sz w:val="28"/>
          <w:szCs w:val="28"/>
        </w:rPr>
        <w:t>不少于3</w:t>
      </w:r>
      <w:r>
        <w:rPr>
          <w:rFonts w:hint="eastAsia"/>
          <w:color w:val="auto"/>
          <w:sz w:val="28"/>
          <w:szCs w:val="28"/>
          <w:lang w:val="en-US" w:eastAsia="zh-CN"/>
        </w:rPr>
        <w:t>节</w:t>
      </w:r>
      <w:r>
        <w:rPr>
          <w:rFonts w:hint="eastAsia"/>
          <w:color w:val="auto"/>
          <w:sz w:val="28"/>
          <w:szCs w:val="28"/>
        </w:rPr>
        <w:t>。</w:t>
      </w:r>
    </w:p>
    <w:p w14:paraId="68091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7.</w:t>
      </w:r>
      <w:r>
        <w:rPr>
          <w:color w:val="auto"/>
          <w:sz w:val="28"/>
          <w:szCs w:val="28"/>
        </w:rPr>
        <w:t>非</w:t>
      </w:r>
      <w:r>
        <w:rPr>
          <w:rFonts w:hint="eastAsia"/>
          <w:color w:val="auto"/>
          <w:sz w:val="28"/>
          <w:szCs w:val="28"/>
        </w:rPr>
        <w:t>视频</w:t>
      </w:r>
      <w:r>
        <w:rPr>
          <w:color w:val="auto"/>
          <w:sz w:val="28"/>
          <w:szCs w:val="28"/>
        </w:rPr>
        <w:t>资料</w:t>
      </w:r>
      <w:r>
        <w:rPr>
          <w:rFonts w:hint="eastAsia"/>
          <w:color w:val="auto"/>
          <w:sz w:val="28"/>
          <w:szCs w:val="28"/>
        </w:rPr>
        <w:t>如</w:t>
      </w:r>
      <w:r>
        <w:rPr>
          <w:rFonts w:hint="eastAsia"/>
          <w:color w:val="auto"/>
          <w:sz w:val="28"/>
          <w:szCs w:val="28"/>
          <w:lang w:val="en-US" w:eastAsia="zh-CN"/>
        </w:rPr>
        <w:t>PPT、</w:t>
      </w:r>
      <w:r>
        <w:rPr>
          <w:rFonts w:hint="eastAsia"/>
          <w:color w:val="auto"/>
          <w:sz w:val="28"/>
          <w:szCs w:val="28"/>
        </w:rPr>
        <w:t>图片、音频、文档</w:t>
      </w:r>
      <w:r>
        <w:rPr>
          <w:rFonts w:hint="eastAsia"/>
          <w:color w:val="auto"/>
          <w:sz w:val="28"/>
          <w:szCs w:val="28"/>
          <w:lang w:val="en-US" w:eastAsia="zh-CN"/>
        </w:rPr>
        <w:t>等</w:t>
      </w:r>
      <w:r>
        <w:rPr>
          <w:rFonts w:hint="eastAsia"/>
          <w:color w:val="auto"/>
          <w:sz w:val="28"/>
          <w:szCs w:val="28"/>
        </w:rPr>
        <w:t>个数≥30</w:t>
      </w:r>
      <w:r>
        <w:rPr>
          <w:rFonts w:hint="eastAsia"/>
          <w:color w:val="auto"/>
          <w:sz w:val="28"/>
          <w:szCs w:val="28"/>
          <w:lang w:val="en-US" w:eastAsia="zh-CN"/>
        </w:rPr>
        <w:t>个</w:t>
      </w:r>
      <w:r>
        <w:rPr>
          <w:rFonts w:hint="eastAsia"/>
          <w:color w:val="auto"/>
          <w:sz w:val="28"/>
          <w:szCs w:val="28"/>
        </w:rPr>
        <w:t>。</w:t>
      </w:r>
    </w:p>
    <w:p w14:paraId="321C1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color w:val="auto"/>
          <w:sz w:val="28"/>
          <w:szCs w:val="28"/>
          <w:lang w:val="en-US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8.</w:t>
      </w:r>
      <w:r>
        <w:rPr>
          <w:rFonts w:hint="eastAsia"/>
          <w:color w:val="auto"/>
          <w:sz w:val="28"/>
          <w:szCs w:val="28"/>
          <w:lang w:eastAsia="zh-CN"/>
        </w:rPr>
        <w:t>测验或作业至少</w:t>
      </w:r>
      <w:r>
        <w:rPr>
          <w:rFonts w:hint="eastAsia"/>
          <w:color w:val="auto"/>
          <w:sz w:val="28"/>
          <w:szCs w:val="28"/>
          <w:lang w:val="en-US" w:eastAsia="zh-CN"/>
        </w:rPr>
        <w:t>5次，测验或作业</w:t>
      </w:r>
      <w:r>
        <w:rPr>
          <w:rFonts w:hint="eastAsia"/>
          <w:color w:val="auto"/>
          <w:sz w:val="28"/>
          <w:szCs w:val="28"/>
          <w:lang w:eastAsia="zh-CN"/>
        </w:rPr>
        <w:t>参与人数</w:t>
      </w:r>
      <w:r>
        <w:rPr>
          <w:rFonts w:hint="eastAsia"/>
          <w:color w:val="auto"/>
          <w:sz w:val="28"/>
          <w:szCs w:val="28"/>
          <w:lang w:val="en-US" w:eastAsia="zh-CN"/>
        </w:rPr>
        <w:t>不少于班级人数的80%。每次测验或作业均有批阅。</w:t>
      </w:r>
    </w:p>
    <w:p w14:paraId="2C5C5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9.</w:t>
      </w:r>
      <w:r>
        <w:rPr>
          <w:color w:val="auto"/>
          <w:sz w:val="28"/>
          <w:szCs w:val="28"/>
        </w:rPr>
        <w:t>试题库</w:t>
      </w:r>
      <w:r>
        <w:rPr>
          <w:rFonts w:hint="eastAsia"/>
          <w:color w:val="auto"/>
          <w:sz w:val="28"/>
          <w:szCs w:val="28"/>
        </w:rPr>
        <w:t>至少1套，每套不少于35道，</w:t>
      </w:r>
      <w:r>
        <w:rPr>
          <w:rFonts w:hint="eastAsia"/>
          <w:color w:val="auto"/>
          <w:sz w:val="28"/>
          <w:szCs w:val="28"/>
          <w:lang w:val="en-US" w:eastAsia="zh-CN"/>
        </w:rPr>
        <w:t>内容符合当期教学，题目要求覆盖教学内容，难易有梯度，体现“两性一度”原则</w:t>
      </w:r>
      <w:r>
        <w:rPr>
          <w:rFonts w:hint="eastAsia"/>
          <w:color w:val="auto"/>
          <w:sz w:val="28"/>
          <w:szCs w:val="28"/>
        </w:rPr>
        <w:t>。</w:t>
      </w:r>
    </w:p>
    <w:p w14:paraId="3C8F8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10.教师发帖总数至少8次，参与互动人次不少于班级人数3倍。</w:t>
      </w:r>
    </w:p>
    <w:p w14:paraId="3EA9C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二、基本要求</w:t>
      </w:r>
    </w:p>
    <w:p w14:paraId="123189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达到1～6标准基础上，完全达到7～10标准中2条以上可以认定为合格课程。</w:t>
      </w:r>
    </w:p>
    <w:p w14:paraId="637DA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lang w:val="en-US" w:eastAsia="zh-CN" w:bidi="ar"/>
        </w:rPr>
      </w:pPr>
    </w:p>
    <w:p w14:paraId="784F81A0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8220D"/>
          <w:spacing w:val="0"/>
          <w:kern w:val="44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220D"/>
          <w:spacing w:val="0"/>
          <w:kern w:val="44"/>
          <w:sz w:val="28"/>
          <w:szCs w:val="28"/>
          <w:lang w:val="en-US" w:eastAsia="zh-CN" w:bidi="ar"/>
        </w:rPr>
        <w:t>附件3 2024-2025学年第一学期教学日历</w:t>
      </w:r>
    </w:p>
    <w:p w14:paraId="2E96A9CE">
      <w:r>
        <w:drawing>
          <wp:inline distT="0" distB="0" distL="114300" distR="114300">
            <wp:extent cx="5272405" cy="6456045"/>
            <wp:effectExtent l="0" t="0" r="444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9D57"/>
    <w:p w14:paraId="4598AD75"/>
    <w:p w14:paraId="763EF50B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8220D"/>
          <w:spacing w:val="0"/>
          <w:kern w:val="44"/>
          <w:sz w:val="28"/>
          <w:szCs w:val="28"/>
          <w:lang w:val="en-US" w:eastAsia="zh-CN" w:bidi="ar"/>
        </w:rPr>
      </w:pPr>
    </w:p>
    <w:p w14:paraId="6003E5E3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8220D"/>
          <w:spacing w:val="0"/>
          <w:kern w:val="44"/>
          <w:sz w:val="28"/>
          <w:szCs w:val="28"/>
          <w:lang w:val="en-US" w:eastAsia="zh-CN" w:bidi="ar"/>
        </w:rPr>
      </w:pPr>
    </w:p>
    <w:p w14:paraId="70864B3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8220D"/>
          <w:spacing w:val="0"/>
          <w:kern w:val="44"/>
          <w:sz w:val="28"/>
          <w:szCs w:val="28"/>
          <w:lang w:val="en-US" w:eastAsia="zh-CN" w:bidi="ar"/>
        </w:rPr>
      </w:pPr>
    </w:p>
    <w:p w14:paraId="60A0C1DE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8220D"/>
          <w:spacing w:val="0"/>
          <w:kern w:val="44"/>
          <w:sz w:val="28"/>
          <w:szCs w:val="28"/>
          <w:lang w:val="en-US" w:eastAsia="zh-CN" w:bidi="ar"/>
        </w:rPr>
      </w:pPr>
    </w:p>
    <w:p w14:paraId="2B21C655">
      <w:pPr>
        <w:rPr>
          <w:rFonts w:hint="default" w:ascii="仿宋" w:hAnsi="仿宋" w:eastAsia="仿宋" w:cs="仿宋"/>
          <w:b/>
          <w:bCs/>
          <w:i w:val="0"/>
          <w:iCs w:val="0"/>
          <w:caps w:val="0"/>
          <w:color w:val="38220D"/>
          <w:spacing w:val="0"/>
          <w:kern w:val="44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8220D"/>
          <w:spacing w:val="0"/>
          <w:kern w:val="44"/>
          <w:sz w:val="28"/>
          <w:szCs w:val="28"/>
          <w:lang w:val="en-US" w:eastAsia="zh-CN" w:bidi="ar"/>
        </w:rPr>
        <w:t>附加4：作息时间表</w:t>
      </w:r>
    </w:p>
    <w:p w14:paraId="792E79F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8041640"/>
            <wp:effectExtent l="0" t="0" r="7620" b="16510"/>
            <wp:docPr id="2" name="图片 2" descr="微信图片_20230915173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9151739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04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ZTBjMGU3MjcwNjc4OTZlNTMwMjgxZGU0MDcxY2EifQ=="/>
  </w:docVars>
  <w:rsids>
    <w:rsidRoot w:val="1DB13DB2"/>
    <w:rsid w:val="04A40A52"/>
    <w:rsid w:val="0AE515E2"/>
    <w:rsid w:val="12732063"/>
    <w:rsid w:val="1DB13DB2"/>
    <w:rsid w:val="1F49194C"/>
    <w:rsid w:val="24F5569A"/>
    <w:rsid w:val="26E8081A"/>
    <w:rsid w:val="2C394BB0"/>
    <w:rsid w:val="30DC0C74"/>
    <w:rsid w:val="390E2362"/>
    <w:rsid w:val="3E3F2FBE"/>
    <w:rsid w:val="41E62606"/>
    <w:rsid w:val="5F006597"/>
    <w:rsid w:val="5FFE0860"/>
    <w:rsid w:val="66C111AD"/>
    <w:rsid w:val="6B8D6867"/>
    <w:rsid w:val="701C2FE1"/>
    <w:rsid w:val="789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No Spacing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2048</Words>
  <Characters>2186</Characters>
  <Lines>0</Lines>
  <Paragraphs>0</Paragraphs>
  <TotalTime>17</TotalTime>
  <ScaleCrop>false</ScaleCrop>
  <LinksUpToDate>false</LinksUpToDate>
  <CharactersWithSpaces>2249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2023-09-15T16:34:00Z</dcterms:created>
  <dc:creator>Administrator</dc:creator>
  <cp:lastModifiedBy>当当</cp:lastModifiedBy>
  <dcterms:modified xsi:type="dcterms:W3CDTF">2024-09-06T09:10:31Z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30781FA76C2649E684B309F3EE8A2C21_12</vt:lpwstr>
  </property>
</Properties>
</file>