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hint="eastAsia" w:ascii="仿宋_GB2312" w:eastAsia="仿宋_GB2312"/>
          <w:sz w:val="36"/>
          <w:szCs w:val="30"/>
          <w:lang w:val="en-US" w:eastAsia="zh-CN"/>
        </w:rPr>
      </w:pPr>
      <w:r>
        <w:rPr>
          <w:rFonts w:hint="eastAsia" w:ascii="仿宋_GB2312" w:hAnsi="黑体" w:eastAsia="仿宋_GB2312"/>
          <w:b/>
          <w:sz w:val="32"/>
          <w:szCs w:val="30"/>
        </w:rPr>
        <w:t>附件</w:t>
      </w:r>
      <w:r>
        <w:rPr>
          <w:rFonts w:hint="eastAsia" w:ascii="仿宋_GB2312" w:hAnsi="黑体" w:eastAsia="仿宋_GB2312"/>
          <w:b/>
          <w:sz w:val="32"/>
          <w:szCs w:val="30"/>
          <w:lang w:val="en-US" w:eastAsia="zh-CN"/>
        </w:rPr>
        <w:t>4</w:t>
      </w:r>
    </w:p>
    <w:p>
      <w:pPr>
        <w:adjustRightInd w:val="0"/>
        <w:snapToGrid w:val="0"/>
        <w:spacing w:after="156" w:afterLines="50" w:line="500" w:lineRule="exact"/>
        <w:jc w:val="center"/>
        <w:rPr>
          <w:rFonts w:eastAsia="方正小标宋简体"/>
          <w:sz w:val="36"/>
          <w:szCs w:val="30"/>
        </w:rPr>
      </w:pPr>
      <w:r>
        <w:rPr>
          <w:rFonts w:hint="eastAsia" w:eastAsia="方正小标宋简体"/>
          <w:sz w:val="36"/>
          <w:szCs w:val="30"/>
        </w:rPr>
        <w:t>浙江省</w:t>
      </w:r>
      <w:r>
        <w:rPr>
          <w:rFonts w:eastAsia="方正小标宋简体"/>
          <w:sz w:val="36"/>
          <w:szCs w:val="30"/>
        </w:rPr>
        <w:t>高</w:t>
      </w:r>
      <w:r>
        <w:rPr>
          <w:rFonts w:hint="eastAsia" w:eastAsia="方正小标宋简体"/>
          <w:sz w:val="36"/>
          <w:szCs w:val="30"/>
        </w:rPr>
        <w:t>等</w:t>
      </w:r>
      <w:r>
        <w:rPr>
          <w:rFonts w:eastAsia="方正小标宋简体"/>
          <w:sz w:val="36"/>
          <w:szCs w:val="30"/>
        </w:rPr>
        <w:t>学校实验室安全检查项目</w:t>
      </w:r>
      <w:r>
        <w:rPr>
          <w:rFonts w:hint="eastAsia" w:eastAsia="方正小标宋简体"/>
          <w:sz w:val="36"/>
          <w:szCs w:val="30"/>
        </w:rPr>
        <w:t>表（202</w:t>
      </w:r>
      <w:r>
        <w:rPr>
          <w:rFonts w:hint="eastAsia" w:eastAsia="方正小标宋简体"/>
          <w:sz w:val="36"/>
          <w:szCs w:val="30"/>
          <w:lang w:val="en-US" w:eastAsia="zh-CN"/>
        </w:rPr>
        <w:t>2</w:t>
      </w:r>
      <w:bookmarkStart w:id="0" w:name="_GoBack"/>
      <w:bookmarkEnd w:id="0"/>
      <w:r>
        <w:rPr>
          <w:rFonts w:hint="eastAsia" w:eastAsia="方正小标宋简体"/>
          <w:sz w:val="36"/>
          <w:szCs w:val="30"/>
        </w:rPr>
        <w:t>）</w:t>
      </w:r>
    </w:p>
    <w:tbl>
      <w:tblPr>
        <w:tblStyle w:val="18"/>
        <w:tblW w:w="143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5810"/>
        <w:gridCol w:w="3260"/>
        <w:gridCol w:w="599"/>
        <w:gridCol w:w="853"/>
        <w:gridCol w:w="882"/>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848" w:type="dxa"/>
            <w:vMerge w:val="restart"/>
            <w:shd w:val="clear" w:color="auto" w:fill="auto"/>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序号</w:t>
            </w:r>
          </w:p>
        </w:tc>
        <w:tc>
          <w:tcPr>
            <w:tcW w:w="5810" w:type="dxa"/>
            <w:vMerge w:val="restart"/>
            <w:shd w:val="clear" w:color="auto" w:fill="auto"/>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检查项目</w:t>
            </w:r>
          </w:p>
        </w:tc>
        <w:tc>
          <w:tcPr>
            <w:tcW w:w="3260" w:type="dxa"/>
            <w:vMerge w:val="restart"/>
            <w:shd w:val="clear" w:color="auto" w:fill="auto"/>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w:t>
            </w:r>
            <w:r>
              <w:rPr>
                <w:rFonts w:eastAsia="黑体"/>
                <w:b/>
                <w:bCs/>
                <w:kern w:val="0"/>
                <w:szCs w:val="21"/>
              </w:rPr>
              <w:t>要点</w:t>
            </w:r>
          </w:p>
        </w:tc>
        <w:tc>
          <w:tcPr>
            <w:tcW w:w="4454" w:type="dxa"/>
            <w:gridSpan w:val="4"/>
            <w:shd w:val="clear" w:color="auto" w:fill="auto"/>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848" w:type="dxa"/>
            <w:vMerge w:val="continue"/>
            <w:shd w:val="clear" w:color="auto" w:fill="auto"/>
            <w:tcMar>
              <w:left w:w="45" w:type="dxa"/>
              <w:right w:w="45" w:type="dxa"/>
            </w:tcMar>
            <w:vAlign w:val="center"/>
          </w:tcPr>
          <w:p>
            <w:pPr>
              <w:spacing w:line="300" w:lineRule="exact"/>
              <w:jc w:val="left"/>
              <w:rPr>
                <w:rFonts w:eastAsia="黑体"/>
                <w:b/>
                <w:bCs/>
                <w:kern w:val="0"/>
                <w:szCs w:val="21"/>
              </w:rPr>
            </w:pPr>
          </w:p>
        </w:tc>
        <w:tc>
          <w:tcPr>
            <w:tcW w:w="5810" w:type="dxa"/>
            <w:vMerge w:val="continue"/>
            <w:shd w:val="clear" w:color="auto" w:fill="auto"/>
            <w:tcMar>
              <w:left w:w="45" w:type="dxa"/>
              <w:right w:w="45" w:type="dxa"/>
            </w:tcMar>
            <w:vAlign w:val="center"/>
          </w:tcPr>
          <w:p>
            <w:pPr>
              <w:spacing w:line="300" w:lineRule="exact"/>
              <w:jc w:val="center"/>
              <w:rPr>
                <w:rFonts w:eastAsia="黑体"/>
                <w:b/>
                <w:bCs/>
                <w:kern w:val="0"/>
                <w:szCs w:val="21"/>
              </w:rPr>
            </w:pPr>
          </w:p>
        </w:tc>
        <w:tc>
          <w:tcPr>
            <w:tcW w:w="3260" w:type="dxa"/>
            <w:vMerge w:val="continue"/>
            <w:shd w:val="clear" w:color="auto" w:fill="auto"/>
            <w:tcMar>
              <w:left w:w="45" w:type="dxa"/>
              <w:right w:w="45" w:type="dxa"/>
            </w:tcMar>
            <w:vAlign w:val="center"/>
          </w:tcPr>
          <w:p>
            <w:pPr>
              <w:spacing w:line="300" w:lineRule="exact"/>
              <w:jc w:val="center"/>
              <w:rPr>
                <w:rFonts w:eastAsia="黑体"/>
                <w:b/>
                <w:bCs/>
                <w:kern w:val="0"/>
                <w:szCs w:val="21"/>
              </w:rPr>
            </w:pPr>
          </w:p>
        </w:tc>
        <w:tc>
          <w:tcPr>
            <w:tcW w:w="599" w:type="dxa"/>
            <w:shd w:val="clear" w:color="auto" w:fill="auto"/>
            <w:tcMar>
              <w:top w:w="28" w:type="dxa"/>
              <w:left w:w="45" w:type="dxa"/>
              <w:bottom w:w="28" w:type="dxa"/>
              <w:right w:w="45" w:type="dxa"/>
            </w:tcMar>
            <w:vAlign w:val="center"/>
          </w:tcPr>
          <w:p>
            <w:pPr>
              <w:spacing w:line="240" w:lineRule="exact"/>
              <w:jc w:val="center"/>
              <w:rPr>
                <w:rFonts w:eastAsia="黑体"/>
                <w:b/>
                <w:bCs/>
                <w:kern w:val="0"/>
                <w:szCs w:val="21"/>
              </w:rPr>
            </w:pPr>
            <w:r>
              <w:rPr>
                <w:rFonts w:hint="eastAsia" w:eastAsia="黑体"/>
                <w:b/>
                <w:bCs/>
                <w:kern w:val="0"/>
                <w:szCs w:val="21"/>
              </w:rPr>
              <w:t>符合</w:t>
            </w:r>
          </w:p>
        </w:tc>
        <w:tc>
          <w:tcPr>
            <w:tcW w:w="853" w:type="dxa"/>
            <w:tcMar>
              <w:top w:w="28" w:type="dxa"/>
              <w:bottom w:w="28" w:type="dxa"/>
            </w:tcMar>
            <w:vAlign w:val="center"/>
          </w:tcPr>
          <w:p>
            <w:pPr>
              <w:spacing w:line="240" w:lineRule="exact"/>
              <w:jc w:val="center"/>
              <w:rPr>
                <w:rFonts w:eastAsia="黑体"/>
                <w:b/>
                <w:bCs/>
                <w:kern w:val="0"/>
                <w:szCs w:val="21"/>
              </w:rPr>
            </w:pPr>
            <w:r>
              <w:rPr>
                <w:rFonts w:hint="eastAsia" w:eastAsia="黑体"/>
                <w:b/>
                <w:bCs/>
                <w:kern w:val="0"/>
                <w:szCs w:val="21"/>
              </w:rPr>
              <w:t>不符合</w:t>
            </w:r>
          </w:p>
        </w:tc>
        <w:tc>
          <w:tcPr>
            <w:tcW w:w="882" w:type="dxa"/>
            <w:tcMar>
              <w:top w:w="28" w:type="dxa"/>
              <w:bottom w:w="28" w:type="dxa"/>
            </w:tcMar>
            <w:vAlign w:val="center"/>
          </w:tcPr>
          <w:p>
            <w:pPr>
              <w:spacing w:line="240" w:lineRule="exact"/>
              <w:jc w:val="center"/>
              <w:rPr>
                <w:rFonts w:eastAsia="黑体"/>
                <w:b/>
                <w:bCs/>
                <w:kern w:val="0"/>
                <w:szCs w:val="21"/>
              </w:rPr>
            </w:pPr>
            <w:r>
              <w:rPr>
                <w:rFonts w:hint="eastAsia" w:eastAsia="黑体"/>
                <w:b/>
                <w:bCs/>
                <w:kern w:val="0"/>
                <w:szCs w:val="21"/>
              </w:rPr>
              <w:t>不适用</w:t>
            </w:r>
          </w:p>
        </w:tc>
        <w:tc>
          <w:tcPr>
            <w:tcW w:w="2120" w:type="dxa"/>
            <w:vAlign w:val="center"/>
          </w:tcPr>
          <w:p>
            <w:pPr>
              <w:spacing w:line="300" w:lineRule="exact"/>
              <w:jc w:val="center"/>
              <w:rPr>
                <w:rFonts w:eastAsia="黑体"/>
                <w:b/>
                <w:bCs/>
                <w:kern w:val="0"/>
                <w:szCs w:val="21"/>
              </w:rPr>
            </w:pPr>
            <w:r>
              <w:rPr>
                <w:rFonts w:hint="eastAsia"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1</w:t>
            </w:r>
          </w:p>
        </w:tc>
        <w:tc>
          <w:tcPr>
            <w:tcW w:w="13524" w:type="dxa"/>
            <w:gridSpan w:val="6"/>
            <w:shd w:val="clear" w:color="auto" w:fill="auto"/>
            <w:tcMar>
              <w:left w:w="45" w:type="dxa"/>
              <w:right w:w="45" w:type="dxa"/>
            </w:tcMar>
            <w:vAlign w:val="center"/>
          </w:tcPr>
          <w:p>
            <w:pPr>
              <w:widowControl/>
              <w:spacing w:line="300" w:lineRule="exact"/>
              <w:rPr>
                <w:b/>
                <w:kern w:val="0"/>
                <w:szCs w:val="21"/>
              </w:rPr>
            </w:pPr>
            <w:r>
              <w:rPr>
                <w:b/>
                <w:kern w:val="0"/>
                <w:szCs w:val="21"/>
              </w:rPr>
              <w:t>组织体系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1.1</w:t>
            </w:r>
          </w:p>
        </w:tc>
        <w:tc>
          <w:tcPr>
            <w:tcW w:w="13524" w:type="dxa"/>
            <w:gridSpan w:val="6"/>
            <w:shd w:val="clear" w:color="auto" w:fill="auto"/>
            <w:tcMar>
              <w:left w:w="45" w:type="dxa"/>
              <w:right w:w="45" w:type="dxa"/>
            </w:tcMar>
            <w:vAlign w:val="center"/>
          </w:tcPr>
          <w:p>
            <w:pPr>
              <w:widowControl/>
              <w:spacing w:line="300" w:lineRule="exact"/>
              <w:rPr>
                <w:b/>
                <w:kern w:val="0"/>
                <w:szCs w:val="21"/>
              </w:rPr>
            </w:pPr>
            <w:r>
              <w:rPr>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1.1.1</w:t>
            </w:r>
          </w:p>
        </w:tc>
        <w:tc>
          <w:tcPr>
            <w:tcW w:w="5810" w:type="dxa"/>
            <w:shd w:val="clear" w:color="auto" w:fill="auto"/>
            <w:tcMar>
              <w:left w:w="45" w:type="dxa"/>
              <w:right w:w="45" w:type="dxa"/>
            </w:tcMar>
            <w:vAlign w:val="center"/>
          </w:tcPr>
          <w:p>
            <w:pPr>
              <w:widowControl/>
              <w:spacing w:line="300" w:lineRule="exact"/>
              <w:jc w:val="left"/>
              <w:rPr>
                <w:b/>
                <w:kern w:val="0"/>
                <w:szCs w:val="21"/>
              </w:rPr>
            </w:pPr>
            <w:r>
              <w:rPr>
                <w:kern w:val="0"/>
                <w:szCs w:val="21"/>
              </w:rPr>
              <w:t>有校级实验室安全工作领导机构</w:t>
            </w:r>
            <w:r>
              <w:rPr>
                <w:rFonts w:hint="eastAsia"/>
                <w:kern w:val="0"/>
                <w:szCs w:val="21"/>
              </w:rPr>
              <w:t>，</w:t>
            </w:r>
            <w:r>
              <w:rPr>
                <w:kern w:val="0"/>
                <w:szCs w:val="21"/>
              </w:rPr>
              <w:t>由校</w:t>
            </w:r>
            <w:r>
              <w:rPr>
                <w:rFonts w:hint="eastAsia"/>
                <w:kern w:val="0"/>
                <w:szCs w:val="21"/>
              </w:rPr>
              <w:t>领导作为负责人</w:t>
            </w:r>
            <w:r>
              <w:rPr>
                <w:kern w:val="0"/>
                <w:szCs w:val="21"/>
              </w:rPr>
              <w:t>，相关职能部门参与，设办公室</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，明确包含实验室技术安全管理内容</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1.1.2</w:t>
            </w:r>
          </w:p>
        </w:tc>
        <w:tc>
          <w:tcPr>
            <w:tcW w:w="5810" w:type="dxa"/>
            <w:shd w:val="clear" w:color="auto" w:fill="auto"/>
            <w:tcMar>
              <w:left w:w="45" w:type="dxa"/>
              <w:right w:w="45" w:type="dxa"/>
            </w:tcMar>
            <w:vAlign w:val="center"/>
          </w:tcPr>
          <w:p>
            <w:pPr>
              <w:widowControl/>
              <w:spacing w:line="300" w:lineRule="exact"/>
              <w:jc w:val="left"/>
              <w:rPr>
                <w:b/>
                <w:kern w:val="0"/>
                <w:szCs w:val="21"/>
              </w:rPr>
            </w:pPr>
            <w:r>
              <w:rPr>
                <w:kern w:val="0"/>
                <w:szCs w:val="21"/>
              </w:rPr>
              <w:t>有处级</w:t>
            </w:r>
            <w:r>
              <w:rPr>
                <w:rFonts w:hint="eastAsia"/>
                <w:kern w:val="0"/>
                <w:szCs w:val="21"/>
              </w:rPr>
              <w:t>职能</w:t>
            </w:r>
            <w:r>
              <w:rPr>
                <w:kern w:val="0"/>
                <w:szCs w:val="21"/>
              </w:rPr>
              <w:t>部门</w:t>
            </w:r>
            <w:r>
              <w:rPr>
                <w:rFonts w:hint="eastAsia"/>
                <w:kern w:val="0"/>
                <w:szCs w:val="21"/>
              </w:rPr>
              <w:t>主管</w:t>
            </w:r>
            <w:r>
              <w:rPr>
                <w:kern w:val="0"/>
                <w:szCs w:val="21"/>
              </w:rPr>
              <w:t>实验室</w:t>
            </w:r>
            <w:r>
              <w:rPr>
                <w:rFonts w:hint="eastAsia"/>
                <w:kern w:val="0"/>
                <w:szCs w:val="21"/>
              </w:rPr>
              <w:t>技术</w:t>
            </w:r>
            <w:r>
              <w:rPr>
                <w:kern w:val="0"/>
                <w:szCs w:val="21"/>
              </w:rPr>
              <w:t>安全工作</w:t>
            </w:r>
            <w:r>
              <w:rPr>
                <w:rFonts w:hint="eastAsia"/>
                <w:kern w:val="0"/>
                <w:szCs w:val="21"/>
              </w:rPr>
              <w:t>，下</w:t>
            </w:r>
            <w:r>
              <w:rPr>
                <w:kern w:val="0"/>
                <w:szCs w:val="21"/>
              </w:rPr>
              <w:t>设实验室安全管理科室（</w:t>
            </w:r>
            <w:r>
              <w:rPr>
                <w:rFonts w:hint="eastAsia"/>
                <w:kern w:val="0"/>
                <w:szCs w:val="21"/>
              </w:rPr>
              <w:t>2</w:t>
            </w:r>
            <w:r>
              <w:rPr>
                <w:kern w:val="0"/>
                <w:szCs w:val="21"/>
              </w:rPr>
              <w:t>万学生规模以上且仪器设备总值超过3亿元</w:t>
            </w:r>
            <w:r>
              <w:rPr>
                <w:rFonts w:hint="eastAsia"/>
                <w:kern w:val="0"/>
                <w:szCs w:val="21"/>
              </w:rPr>
              <w:t>的</w:t>
            </w:r>
            <w:r>
              <w:rPr>
                <w:kern w:val="0"/>
                <w:szCs w:val="21"/>
              </w:rPr>
              <w:t>学校），或有专职的实验室安全管理人员</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明确的主管部门</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1.1.3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）或学生组成的实验室安全督查/协查队伍</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1.1.4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领导签名及盖公</w:t>
            </w:r>
            <w:r>
              <w:rPr>
                <w:kern w:val="0"/>
                <w:szCs w:val="21"/>
              </w:rPr>
              <w:t>章</w:t>
            </w:r>
            <w:r>
              <w:rPr>
                <w:rFonts w:hint="eastAsia"/>
                <w:kern w:val="0"/>
                <w:szCs w:val="21"/>
              </w:rPr>
              <w:t>，</w:t>
            </w:r>
            <w:r>
              <w:rPr>
                <w:kern w:val="0"/>
                <w:szCs w:val="21"/>
              </w:rPr>
              <w:t>至少在任期内</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1.1.5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各级</w:t>
            </w:r>
            <w:r>
              <w:rPr>
                <w:kern w:val="0"/>
                <w:szCs w:val="21"/>
              </w:rPr>
              <w:t>主管实验室安全的负责人</w:t>
            </w:r>
            <w:r>
              <w:rPr>
                <w:rFonts w:hint="eastAsia"/>
                <w:kern w:val="0"/>
                <w:szCs w:val="21"/>
              </w:rPr>
              <w:t>到</w:t>
            </w:r>
            <w:r>
              <w:rPr>
                <w:kern w:val="0"/>
                <w:szCs w:val="21"/>
              </w:rPr>
              <w:t>岗一年内</w:t>
            </w:r>
            <w:r>
              <w:rPr>
                <w:rFonts w:hint="eastAsia"/>
                <w:kern w:val="0"/>
                <w:szCs w:val="21"/>
              </w:rPr>
              <w:t>参与了</w:t>
            </w:r>
            <w:r>
              <w:rPr>
                <w:kern w:val="0"/>
                <w:szCs w:val="21"/>
              </w:rPr>
              <w:t>实验室安全培训，</w:t>
            </w:r>
            <w:r>
              <w:rPr>
                <w:rFonts w:hint="eastAsia"/>
                <w:kern w:val="0"/>
                <w:szCs w:val="21"/>
              </w:rPr>
              <w:t>有培训</w:t>
            </w:r>
            <w:r>
              <w:rPr>
                <w:kern w:val="0"/>
                <w:szCs w:val="21"/>
              </w:rPr>
              <w:t>证书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存档资料</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1.2</w:t>
            </w:r>
          </w:p>
        </w:tc>
        <w:tc>
          <w:tcPr>
            <w:tcW w:w="13524" w:type="dxa"/>
            <w:gridSpan w:val="6"/>
            <w:shd w:val="clear" w:color="auto" w:fill="auto"/>
            <w:tcMar>
              <w:left w:w="45" w:type="dxa"/>
              <w:right w:w="45" w:type="dxa"/>
            </w:tcMar>
            <w:vAlign w:val="center"/>
          </w:tcPr>
          <w:p>
            <w:pPr>
              <w:widowControl/>
              <w:spacing w:line="300" w:lineRule="exact"/>
              <w:rPr>
                <w:b/>
                <w:kern w:val="0"/>
                <w:szCs w:val="21"/>
              </w:rPr>
            </w:pPr>
            <w:r>
              <w:rPr>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成立实验室安全领导小组，由党/政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查院系</w:t>
            </w:r>
            <w:r>
              <w:rPr>
                <w:bCs/>
                <w:kern w:val="0"/>
                <w:szCs w:val="21"/>
              </w:rPr>
              <w:t>文件</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、教研室、实验室等机构有安全责任人和管理人</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院系发布的文件</w:t>
            </w:r>
          </w:p>
        </w:tc>
        <w:tc>
          <w:tcPr>
            <w:tcW w:w="599" w:type="dxa"/>
            <w:tcMar>
              <w:left w:w="45" w:type="dxa"/>
              <w:right w:w="45" w:type="dxa"/>
            </w:tcMar>
            <w:vAlign w:val="center"/>
          </w:tcPr>
          <w:p>
            <w:pPr>
              <w:widowControl/>
              <w:spacing w:line="300" w:lineRule="exact"/>
              <w:jc w:val="center"/>
              <w:rPr>
                <w:kern w:val="0"/>
                <w:szCs w:val="21"/>
              </w:rPr>
            </w:pPr>
          </w:p>
        </w:tc>
        <w:tc>
          <w:tcPr>
            <w:tcW w:w="853" w:type="dxa"/>
            <w:vAlign w:val="center"/>
          </w:tcPr>
          <w:p>
            <w:pPr>
              <w:widowControl/>
              <w:spacing w:line="300" w:lineRule="exact"/>
              <w:jc w:val="center"/>
              <w:rPr>
                <w:kern w:val="0"/>
                <w:szCs w:val="21"/>
              </w:rPr>
            </w:pPr>
          </w:p>
        </w:tc>
        <w:tc>
          <w:tcPr>
            <w:tcW w:w="882" w:type="dxa"/>
            <w:vAlign w:val="center"/>
          </w:tcPr>
          <w:p>
            <w:pPr>
              <w:widowControl/>
              <w:spacing w:line="300" w:lineRule="exact"/>
              <w:jc w:val="center"/>
              <w:rPr>
                <w:kern w:val="0"/>
                <w:szCs w:val="21"/>
              </w:rPr>
            </w:pPr>
          </w:p>
        </w:tc>
        <w:tc>
          <w:tcPr>
            <w:tcW w:w="212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bCs/>
                <w:kern w:val="0"/>
                <w:szCs w:val="21"/>
              </w:rPr>
            </w:pPr>
            <w:r>
              <w:rPr>
                <w:rFonts w:eastAsia="黑体"/>
                <w:b/>
                <w:bCs/>
                <w:kern w:val="0"/>
                <w:szCs w:val="21"/>
              </w:rPr>
              <w:t>1.3</w:t>
            </w:r>
          </w:p>
        </w:tc>
        <w:tc>
          <w:tcPr>
            <w:tcW w:w="13524" w:type="dxa"/>
            <w:gridSpan w:val="6"/>
            <w:shd w:val="clear" w:color="auto" w:fill="auto"/>
            <w:tcMar>
              <w:left w:w="45" w:type="dxa"/>
              <w:right w:w="45" w:type="dxa"/>
            </w:tcMar>
            <w:vAlign w:val="center"/>
          </w:tcPr>
          <w:p>
            <w:pPr>
              <w:widowControl/>
              <w:spacing w:line="300" w:lineRule="exact"/>
              <w:rPr>
                <w:b/>
                <w:bCs/>
                <w:kern w:val="0"/>
                <w:szCs w:val="21"/>
              </w:rPr>
            </w:pPr>
            <w:r>
              <w:rPr>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1.3.1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学校每年有实验室安全常规经费预算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有财务</w:t>
            </w:r>
            <w:r>
              <w:rPr>
                <w:bCs/>
                <w:kern w:val="0"/>
                <w:szCs w:val="21"/>
              </w:rPr>
              <w:t>证据</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1.3.2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证据</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1.3.3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院系、课题组</w:t>
            </w:r>
            <w:r>
              <w:rPr>
                <w:kern w:val="0"/>
                <w:szCs w:val="21"/>
              </w:rPr>
              <w:t>等</w:t>
            </w:r>
            <w:r>
              <w:rPr>
                <w:rFonts w:hint="eastAsia"/>
                <w:kern w:val="0"/>
                <w:szCs w:val="21"/>
              </w:rPr>
              <w:t>有</w:t>
            </w:r>
            <w:r>
              <w:rPr>
                <w:kern w:val="0"/>
                <w:szCs w:val="21"/>
              </w:rPr>
              <w:t>自筹经费投入实验室安全建设与管理</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证据</w:t>
            </w:r>
          </w:p>
        </w:tc>
        <w:tc>
          <w:tcPr>
            <w:tcW w:w="599" w:type="dxa"/>
            <w:tcMar>
              <w:left w:w="45" w:type="dxa"/>
              <w:right w:w="45" w:type="dxa"/>
            </w:tcMar>
            <w:vAlign w:val="center"/>
          </w:tcPr>
          <w:p>
            <w:pPr>
              <w:widowControl/>
              <w:spacing w:line="300" w:lineRule="exact"/>
              <w:jc w:val="center"/>
              <w:rPr>
                <w:kern w:val="0"/>
                <w:szCs w:val="21"/>
              </w:rPr>
            </w:pPr>
          </w:p>
        </w:tc>
        <w:tc>
          <w:tcPr>
            <w:tcW w:w="853" w:type="dxa"/>
            <w:vAlign w:val="center"/>
          </w:tcPr>
          <w:p>
            <w:pPr>
              <w:widowControl/>
              <w:spacing w:line="300" w:lineRule="exact"/>
              <w:jc w:val="center"/>
              <w:rPr>
                <w:kern w:val="0"/>
                <w:szCs w:val="21"/>
              </w:rPr>
            </w:pPr>
          </w:p>
        </w:tc>
        <w:tc>
          <w:tcPr>
            <w:tcW w:w="882" w:type="dxa"/>
            <w:vAlign w:val="center"/>
          </w:tcPr>
          <w:p>
            <w:pPr>
              <w:widowControl/>
              <w:spacing w:line="300" w:lineRule="exact"/>
              <w:jc w:val="center"/>
              <w:rPr>
                <w:kern w:val="0"/>
                <w:szCs w:val="21"/>
              </w:rPr>
            </w:pPr>
          </w:p>
        </w:tc>
        <w:tc>
          <w:tcPr>
            <w:tcW w:w="212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1.4</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1.4.1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建有</w:t>
            </w:r>
            <w:r>
              <w:rPr>
                <w:kern w:val="0"/>
                <w:szCs w:val="21"/>
              </w:rPr>
              <w:t>实验室安全信息化管理系统</w:t>
            </w:r>
            <w:r>
              <w:rPr>
                <w:rFonts w:hint="eastAsia"/>
                <w:kern w:val="0"/>
                <w:szCs w:val="21"/>
              </w:rPr>
              <w:t>并</w:t>
            </w:r>
            <w:r>
              <w:rPr>
                <w:kern w:val="0"/>
                <w:szCs w:val="21"/>
              </w:rPr>
              <w:t>有效</w:t>
            </w:r>
            <w:r>
              <w:rPr>
                <w:rFonts w:hint="eastAsia"/>
                <w:kern w:val="0"/>
                <w:szCs w:val="21"/>
              </w:rPr>
              <w:t>运行</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系统</w:t>
            </w:r>
            <w:r>
              <w:rPr>
                <w:rFonts w:hint="eastAsia"/>
                <w:kern w:val="0"/>
                <w:szCs w:val="21"/>
              </w:rPr>
              <w:t>中</w:t>
            </w:r>
            <w:r>
              <w:rPr>
                <w:kern w:val="0"/>
                <w:szCs w:val="21"/>
              </w:rPr>
              <w:t>实验室房间、人员、</w:t>
            </w:r>
            <w:r>
              <w:rPr>
                <w:rFonts w:hint="eastAsia"/>
                <w:kern w:val="0"/>
                <w:szCs w:val="21"/>
              </w:rPr>
              <w:t>安全风</w:t>
            </w:r>
            <w:r>
              <w:rPr>
                <w:kern w:val="0"/>
                <w:szCs w:val="21"/>
              </w:rPr>
              <w:t>险</w:t>
            </w:r>
            <w:r>
              <w:rPr>
                <w:rFonts w:hint="eastAsia"/>
                <w:kern w:val="0"/>
                <w:szCs w:val="21"/>
              </w:rPr>
              <w:t>点与</w:t>
            </w:r>
            <w:r>
              <w:rPr>
                <w:kern w:val="0"/>
                <w:szCs w:val="21"/>
              </w:rPr>
              <w:t>防控</w:t>
            </w:r>
            <w:r>
              <w:rPr>
                <w:rFonts w:hint="eastAsia"/>
                <w:kern w:val="0"/>
                <w:szCs w:val="21"/>
              </w:rPr>
              <w:t>、</w:t>
            </w:r>
            <w:r>
              <w:rPr>
                <w:kern w:val="0"/>
                <w:szCs w:val="21"/>
              </w:rPr>
              <w:t>安全检查等信息</w:t>
            </w:r>
          </w:p>
        </w:tc>
        <w:tc>
          <w:tcPr>
            <w:tcW w:w="599" w:type="dxa"/>
            <w:tcMar>
              <w:left w:w="45" w:type="dxa"/>
              <w:right w:w="45" w:type="dxa"/>
            </w:tcMar>
            <w:vAlign w:val="center"/>
          </w:tcPr>
          <w:p>
            <w:pPr>
              <w:widowControl/>
              <w:spacing w:line="300" w:lineRule="exact"/>
              <w:jc w:val="center"/>
              <w:rPr>
                <w:kern w:val="0"/>
                <w:szCs w:val="21"/>
              </w:rPr>
            </w:pPr>
          </w:p>
        </w:tc>
        <w:tc>
          <w:tcPr>
            <w:tcW w:w="853" w:type="dxa"/>
            <w:vAlign w:val="center"/>
          </w:tcPr>
          <w:p>
            <w:pPr>
              <w:widowControl/>
              <w:spacing w:line="300" w:lineRule="exact"/>
              <w:jc w:val="center"/>
              <w:rPr>
                <w:kern w:val="0"/>
                <w:szCs w:val="21"/>
              </w:rPr>
            </w:pPr>
          </w:p>
        </w:tc>
        <w:tc>
          <w:tcPr>
            <w:tcW w:w="882" w:type="dxa"/>
            <w:vAlign w:val="center"/>
          </w:tcPr>
          <w:p>
            <w:pPr>
              <w:widowControl/>
              <w:spacing w:line="300" w:lineRule="exact"/>
              <w:jc w:val="center"/>
              <w:rPr>
                <w:kern w:val="0"/>
                <w:szCs w:val="21"/>
              </w:rPr>
            </w:pPr>
          </w:p>
        </w:tc>
        <w:tc>
          <w:tcPr>
            <w:tcW w:w="212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1.4.2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管理</w:t>
            </w:r>
            <w:r>
              <w:rPr>
                <w:kern w:val="0"/>
                <w:szCs w:val="21"/>
              </w:rPr>
              <w:t>部门建立了完整的实验室安全工作档案，包括责任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档案</w:t>
            </w:r>
            <w:r>
              <w:rPr>
                <w:kern w:val="0"/>
                <w:szCs w:val="21"/>
              </w:rPr>
              <w:t>分类规范合理，便于查找</w:t>
            </w:r>
          </w:p>
        </w:tc>
        <w:tc>
          <w:tcPr>
            <w:tcW w:w="599" w:type="dxa"/>
            <w:tcMar>
              <w:left w:w="45" w:type="dxa"/>
              <w:right w:w="45" w:type="dxa"/>
            </w:tcMar>
            <w:vAlign w:val="center"/>
          </w:tcPr>
          <w:p>
            <w:pPr>
              <w:widowControl/>
              <w:spacing w:line="300" w:lineRule="exact"/>
              <w:jc w:val="center"/>
              <w:rPr>
                <w:kern w:val="0"/>
                <w:szCs w:val="21"/>
              </w:rPr>
            </w:pPr>
          </w:p>
        </w:tc>
        <w:tc>
          <w:tcPr>
            <w:tcW w:w="853" w:type="dxa"/>
            <w:vAlign w:val="center"/>
          </w:tcPr>
          <w:p>
            <w:pPr>
              <w:widowControl/>
              <w:spacing w:line="300" w:lineRule="exact"/>
              <w:jc w:val="center"/>
              <w:rPr>
                <w:kern w:val="0"/>
                <w:szCs w:val="21"/>
              </w:rPr>
            </w:pPr>
          </w:p>
        </w:tc>
        <w:tc>
          <w:tcPr>
            <w:tcW w:w="882" w:type="dxa"/>
            <w:vAlign w:val="center"/>
          </w:tcPr>
          <w:p>
            <w:pPr>
              <w:widowControl/>
              <w:spacing w:line="300" w:lineRule="exact"/>
              <w:jc w:val="center"/>
              <w:rPr>
                <w:kern w:val="0"/>
                <w:szCs w:val="21"/>
              </w:rPr>
            </w:pPr>
          </w:p>
        </w:tc>
        <w:tc>
          <w:tcPr>
            <w:tcW w:w="212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2</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2.1</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校级层面实验室安全管理制度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Cs/>
                <w:kern w:val="0"/>
                <w:szCs w:val="21"/>
              </w:rPr>
            </w:pPr>
            <w:r>
              <w:rPr>
                <w:rFonts w:eastAsia="黑体"/>
                <w:bCs/>
                <w:kern w:val="0"/>
                <w:szCs w:val="21"/>
              </w:rPr>
              <w:t>2.1.1</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有实验室技术安全管理办法</w:t>
            </w:r>
          </w:p>
        </w:tc>
        <w:tc>
          <w:tcPr>
            <w:tcW w:w="3260" w:type="dxa"/>
            <w:vMerge w:val="restart"/>
            <w:shd w:val="clear" w:color="auto" w:fill="auto"/>
            <w:tcMar>
              <w:left w:w="45" w:type="dxa"/>
              <w:right w:w="45" w:type="dxa"/>
            </w:tcMar>
            <w:vAlign w:val="center"/>
          </w:tcPr>
          <w:p>
            <w:pPr>
              <w:spacing w:line="300" w:lineRule="exact"/>
              <w:rPr>
                <w:bCs/>
                <w:kern w:val="0"/>
                <w:szCs w:val="21"/>
              </w:rPr>
            </w:pPr>
            <w:r>
              <w:rPr>
                <w:rFonts w:hint="eastAsia"/>
                <w:bCs/>
                <w:kern w:val="0"/>
                <w:szCs w:val="21"/>
              </w:rPr>
              <w:t>1.制度文件有学校正式发文号；</w:t>
            </w:r>
          </w:p>
          <w:p>
            <w:pPr>
              <w:spacing w:line="300" w:lineRule="exact"/>
              <w:rPr>
                <w:bCs/>
                <w:kern w:val="0"/>
                <w:szCs w:val="21"/>
              </w:rPr>
            </w:pPr>
            <w:r>
              <w:rPr>
                <w:rFonts w:hint="eastAsia"/>
                <w:bCs/>
                <w:kern w:val="0"/>
                <w:szCs w:val="21"/>
              </w:rPr>
              <w:t>2.文件是否长期未修订更新、陈旧过时；</w:t>
            </w:r>
          </w:p>
          <w:p>
            <w:pPr>
              <w:spacing w:line="300" w:lineRule="exact"/>
              <w:rPr>
                <w:bCs/>
                <w:kern w:val="0"/>
                <w:szCs w:val="21"/>
              </w:rPr>
            </w:pPr>
            <w:r>
              <w:rPr>
                <w:bCs/>
                <w:kern w:val="0"/>
                <w:szCs w:val="21"/>
              </w:rPr>
              <w:t>3.</w:t>
            </w:r>
            <w:r>
              <w:rPr>
                <w:rFonts w:hint="eastAsia"/>
                <w:bCs/>
                <w:kern w:val="0"/>
                <w:szCs w:val="21"/>
              </w:rPr>
              <w:t>文件是否过于简单粗糙、流于形式，缺乏可操作性或实际管理效用；</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Cs/>
                <w:kern w:val="0"/>
                <w:szCs w:val="21"/>
              </w:rPr>
            </w:pPr>
            <w:r>
              <w:rPr>
                <w:rFonts w:eastAsia="黑体"/>
                <w:bCs/>
                <w:kern w:val="0"/>
                <w:szCs w:val="21"/>
              </w:rPr>
              <w:t>2.1.2</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有实验室安全</w:t>
            </w:r>
            <w:r>
              <w:rPr>
                <w:rFonts w:hint="eastAsia"/>
                <w:bCs/>
                <w:kern w:val="0"/>
                <w:szCs w:val="21"/>
              </w:rPr>
              <w:t>奖励与</w:t>
            </w:r>
            <w:r>
              <w:rPr>
                <w:bCs/>
                <w:kern w:val="0"/>
                <w:szCs w:val="21"/>
              </w:rPr>
              <w:t>责任追究制度</w:t>
            </w:r>
          </w:p>
        </w:tc>
        <w:tc>
          <w:tcPr>
            <w:tcW w:w="3260" w:type="dxa"/>
            <w:vMerge w:val="continue"/>
            <w:shd w:val="clear" w:color="auto" w:fill="auto"/>
            <w:tcMar>
              <w:left w:w="45" w:type="dxa"/>
              <w:right w:w="45" w:type="dxa"/>
            </w:tcMar>
            <w:vAlign w:val="center"/>
          </w:tcPr>
          <w:p>
            <w:pPr>
              <w:spacing w:line="300" w:lineRule="exact"/>
              <w:rPr>
                <w:bCs/>
                <w:kern w:val="0"/>
                <w:szCs w:val="21"/>
              </w:rPr>
            </w:pP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Cs/>
                <w:kern w:val="0"/>
                <w:szCs w:val="21"/>
              </w:rPr>
            </w:pPr>
            <w:r>
              <w:rPr>
                <w:rFonts w:eastAsia="黑体"/>
                <w:bCs/>
                <w:kern w:val="0"/>
                <w:szCs w:val="21"/>
              </w:rPr>
              <w:t>2.1.3</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有实验室安全检查制度</w:t>
            </w:r>
          </w:p>
        </w:tc>
        <w:tc>
          <w:tcPr>
            <w:tcW w:w="3260" w:type="dxa"/>
            <w:vMerge w:val="continue"/>
            <w:shd w:val="clear" w:color="auto" w:fill="auto"/>
            <w:tcMar>
              <w:left w:w="45" w:type="dxa"/>
              <w:right w:w="45" w:type="dxa"/>
            </w:tcMar>
            <w:vAlign w:val="center"/>
          </w:tcPr>
          <w:p>
            <w:pPr>
              <w:spacing w:line="300" w:lineRule="exact"/>
              <w:rPr>
                <w:bCs/>
                <w:kern w:val="0"/>
                <w:szCs w:val="21"/>
              </w:rPr>
            </w:pP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Cs/>
                <w:kern w:val="0"/>
                <w:szCs w:val="21"/>
              </w:rPr>
            </w:pPr>
            <w:r>
              <w:rPr>
                <w:rFonts w:eastAsia="黑体"/>
                <w:bCs/>
                <w:kern w:val="0"/>
                <w:szCs w:val="21"/>
              </w:rPr>
              <w:t>2.1.4</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有</w:t>
            </w:r>
            <w:r>
              <w:rPr>
                <w:kern w:val="0"/>
                <w:szCs w:val="21"/>
              </w:rPr>
              <w:t>实验室安全教育与</w:t>
            </w:r>
            <w:r>
              <w:rPr>
                <w:rFonts w:hint="eastAsia"/>
                <w:kern w:val="0"/>
                <w:szCs w:val="21"/>
              </w:rPr>
              <w:t>实验室</w:t>
            </w:r>
            <w:r>
              <w:rPr>
                <w:kern w:val="0"/>
                <w:szCs w:val="21"/>
              </w:rPr>
              <w:t>准入</w:t>
            </w:r>
            <w:r>
              <w:rPr>
                <w:rFonts w:hint="eastAsia"/>
                <w:kern w:val="0"/>
                <w:szCs w:val="21"/>
              </w:rPr>
              <w:t>制度</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Cs/>
                <w:kern w:val="0"/>
                <w:szCs w:val="21"/>
              </w:rPr>
            </w:pPr>
            <w:r>
              <w:rPr>
                <w:rFonts w:eastAsia="黑体"/>
                <w:bCs/>
                <w:kern w:val="0"/>
                <w:szCs w:val="21"/>
              </w:rPr>
              <w:t>2.1.5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实验室分类分级管理制度</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Cs/>
                <w:kern w:val="0"/>
                <w:szCs w:val="21"/>
              </w:rPr>
            </w:pPr>
            <w:r>
              <w:rPr>
                <w:rFonts w:eastAsia="黑体"/>
                <w:bCs/>
                <w:kern w:val="0"/>
                <w:szCs w:val="21"/>
              </w:rPr>
              <w:t>2.1.6</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有化学、生物、辐射、电气、机械、排污、仪器设备等安全管理规定</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Cs/>
                <w:kern w:val="0"/>
                <w:szCs w:val="21"/>
              </w:rPr>
            </w:pPr>
            <w:r>
              <w:rPr>
                <w:rFonts w:eastAsia="黑体"/>
                <w:bCs/>
                <w:kern w:val="0"/>
                <w:szCs w:val="21"/>
              </w:rPr>
              <w:t>2.1.7</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w:t>
            </w:r>
            <w:r>
              <w:rPr>
                <w:rFonts w:hint="eastAsia"/>
                <w:bCs/>
                <w:kern w:val="0"/>
                <w:szCs w:val="21"/>
              </w:rPr>
              <w:t>实验室</w:t>
            </w:r>
            <w:r>
              <w:rPr>
                <w:bCs/>
                <w:kern w:val="0"/>
                <w:szCs w:val="21"/>
              </w:rPr>
              <w:t>突发事件应急预案（包括化学、生物、辐射、电气、机械等分类）</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2.2</w:t>
            </w:r>
          </w:p>
        </w:tc>
        <w:tc>
          <w:tcPr>
            <w:tcW w:w="13524" w:type="dxa"/>
            <w:gridSpan w:val="6"/>
            <w:shd w:val="clear" w:color="auto" w:fill="auto"/>
            <w:tcMar>
              <w:left w:w="45" w:type="dxa"/>
              <w:right w:w="45" w:type="dxa"/>
            </w:tcMar>
            <w:vAlign w:val="center"/>
          </w:tcPr>
          <w:p>
            <w:pPr>
              <w:widowControl/>
              <w:spacing w:line="300" w:lineRule="exact"/>
              <w:rPr>
                <w:b/>
                <w:kern w:val="0"/>
                <w:szCs w:val="21"/>
              </w:rPr>
            </w:pPr>
            <w:r>
              <w:rPr>
                <w:b/>
                <w:kern w:val="0"/>
                <w:szCs w:val="21"/>
              </w:rPr>
              <w:t>院系层面的安全管理制度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Cs/>
                <w:kern w:val="0"/>
                <w:szCs w:val="21"/>
              </w:rPr>
            </w:pPr>
            <w:r>
              <w:rPr>
                <w:rFonts w:eastAsia="黑体"/>
                <w:bCs/>
                <w:kern w:val="0"/>
                <w:szCs w:val="21"/>
              </w:rPr>
              <w:t>2.2.1</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具有学科特色的实验室安全管理制度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查院系制度是否公开明示</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2.2.2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有安全检查与值班值日制度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2.2.3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2.2.4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2.2.5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查看开题报告、新开设教学实验审批资料</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2.2.6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有体现学科特色的应急预案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3</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安全教育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3.1</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安全教育</w:t>
            </w:r>
            <w:r>
              <w:rPr>
                <w:b/>
                <w:kern w:val="0"/>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3.1.1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开设合适的实验室安全必修课或选修课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化学、生物等安全重点防范学科应开设必修课</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3.1.2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活动，有记录</w:t>
            </w:r>
          </w:p>
        </w:tc>
        <w:tc>
          <w:tcPr>
            <w:tcW w:w="3260" w:type="dxa"/>
            <w:shd w:val="clear" w:color="auto" w:fill="auto"/>
            <w:tcMar>
              <w:left w:w="45" w:type="dxa"/>
              <w:right w:w="45" w:type="dxa"/>
            </w:tcMar>
            <w:vAlign w:val="center"/>
          </w:tcPr>
          <w:p>
            <w:pPr>
              <w:widowControl/>
              <w:spacing w:line="300" w:lineRule="exact"/>
              <w:rPr>
                <w:bCs/>
                <w:kern w:val="0"/>
                <w:szCs w:val="21"/>
              </w:rPr>
            </w:pPr>
            <w:r>
              <w:rPr>
                <w:rFonts w:hint="eastAsia"/>
                <w:bCs/>
                <w:kern w:val="0"/>
                <w:szCs w:val="21"/>
              </w:rPr>
              <w:t>查看历年存档记录，包含培训时间、内容、人数、通知、会场照片等</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3.1.3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院</w:t>
            </w:r>
            <w:r>
              <w:rPr>
                <w:rFonts w:hint="eastAsia"/>
                <w:kern w:val="0"/>
                <w:szCs w:val="21"/>
              </w:rPr>
              <w:t>系</w:t>
            </w:r>
            <w:r>
              <w:rPr>
                <w:kern w:val="0"/>
                <w:szCs w:val="21"/>
              </w:rPr>
              <w:t>有专业安全培训活动，建立实验室准入制度</w:t>
            </w:r>
          </w:p>
        </w:tc>
        <w:tc>
          <w:tcPr>
            <w:tcW w:w="3260" w:type="dxa"/>
            <w:shd w:val="clear" w:color="auto" w:fill="auto"/>
            <w:tcMar>
              <w:left w:w="45" w:type="dxa"/>
              <w:right w:w="45" w:type="dxa"/>
            </w:tcMar>
            <w:vAlign w:val="center"/>
          </w:tcPr>
          <w:p>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3.1.4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开展结合学科特点的应急演练，有记录</w:t>
            </w:r>
          </w:p>
        </w:tc>
        <w:tc>
          <w:tcPr>
            <w:tcW w:w="3260" w:type="dxa"/>
            <w:shd w:val="clear" w:color="auto" w:fill="auto"/>
            <w:tcMar>
              <w:left w:w="45" w:type="dxa"/>
              <w:right w:w="45" w:type="dxa"/>
            </w:tcMar>
            <w:vAlign w:val="center"/>
          </w:tcPr>
          <w:p>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3.2</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实验室安全</w:t>
            </w:r>
            <w:r>
              <w:rPr>
                <w:rFonts w:hint="eastAsia"/>
                <w:b/>
                <w:kern w:val="0"/>
                <w:szCs w:val="21"/>
              </w:rPr>
              <w:t>知识考试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3.2.1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建立了实验室安全</w:t>
            </w:r>
            <w:r>
              <w:rPr>
                <w:rFonts w:hint="eastAsia"/>
                <w:kern w:val="0"/>
                <w:szCs w:val="21"/>
              </w:rPr>
              <w:t>知识考试系统，</w:t>
            </w:r>
            <w:r>
              <w:rPr>
                <w:kern w:val="0"/>
                <w:szCs w:val="21"/>
              </w:rPr>
              <w:t>具有学习与考试功能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查看考试系统</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3.2.2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题库内容包含通识类和各专业学科分类安全知识、安全规范、国家相关法律法规、应急措施等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查看系统</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3.2.3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每年组织新教工、本科生和研究生新生学习与考试，</w:t>
            </w:r>
            <w:r>
              <w:rPr>
                <w:rFonts w:hint="eastAsia"/>
                <w:kern w:val="0"/>
                <w:szCs w:val="21"/>
              </w:rPr>
              <w:t>通过</w:t>
            </w:r>
            <w:r>
              <w:rPr>
                <w:kern w:val="0"/>
                <w:szCs w:val="21"/>
              </w:rPr>
              <w:t>者</w:t>
            </w:r>
            <w:r>
              <w:rPr>
                <w:rFonts w:hint="eastAsia"/>
                <w:kern w:val="0"/>
                <w:szCs w:val="21"/>
              </w:rPr>
              <w:t>发放</w:t>
            </w:r>
            <w:r>
              <w:rPr>
                <w:kern w:val="0"/>
                <w:szCs w:val="21"/>
              </w:rPr>
              <w:t>合格证</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3.3</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3.3.1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有适合学校特色的安全文化建设计划</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查看资料</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3.3.2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编印实验室安全手册并发放到每一位师生，承诺书归档</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查看每年发放记录、师生签字的承诺书</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3.3.3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查看相关网页</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3.3.4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加强</w:t>
            </w:r>
            <w:r>
              <w:rPr>
                <w:kern w:val="0"/>
                <w:szCs w:val="21"/>
              </w:rPr>
              <w:t>宣传</w:t>
            </w:r>
            <w:r>
              <w:rPr>
                <w:rFonts w:hint="eastAsia"/>
                <w:kern w:val="0"/>
                <w:szCs w:val="21"/>
              </w:rPr>
              <w:t>，有</w:t>
            </w:r>
            <w:r>
              <w:rPr>
                <w:kern w:val="0"/>
                <w:szCs w:val="21"/>
              </w:rPr>
              <w:t>安全文化</w:t>
            </w:r>
            <w:r>
              <w:rPr>
                <w:rFonts w:hint="eastAsia"/>
                <w:kern w:val="0"/>
                <w:szCs w:val="21"/>
              </w:rPr>
              <w:t>专门</w:t>
            </w:r>
            <w:r>
              <w:rPr>
                <w:kern w:val="0"/>
                <w:szCs w:val="21"/>
              </w:rPr>
              <w:t>举措</w:t>
            </w:r>
            <w:r>
              <w:rPr>
                <w:rFonts w:hint="eastAsia"/>
                <w:kern w:val="0"/>
                <w:szCs w:val="21"/>
              </w:rPr>
              <w:t>或</w:t>
            </w:r>
            <w:r>
              <w:rPr>
                <w:kern w:val="0"/>
                <w:szCs w:val="21"/>
              </w:rPr>
              <w:t>活动，如</w:t>
            </w:r>
            <w:r>
              <w:rPr>
                <w:rFonts w:hint="eastAsia"/>
                <w:kern w:val="0"/>
                <w:szCs w:val="21"/>
              </w:rPr>
              <w:t>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安全评估、安全知识竞赛、微电影拍摄等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kern w:val="0"/>
                <w:szCs w:val="21"/>
              </w:rPr>
              <w:t>有安全教育宣传窗</w:t>
            </w:r>
            <w:r>
              <w:rPr>
                <w:rFonts w:hint="eastAsia"/>
                <w:kern w:val="0"/>
                <w:szCs w:val="21"/>
              </w:rPr>
              <w:t>、</w:t>
            </w:r>
            <w:r>
              <w:rPr>
                <w:kern w:val="0"/>
                <w:szCs w:val="21"/>
              </w:rPr>
              <w:t>宣传画、标语</w:t>
            </w:r>
            <w:r>
              <w:rPr>
                <w:rFonts w:hint="eastAsia"/>
                <w:kern w:val="0"/>
                <w:szCs w:val="21"/>
              </w:rPr>
              <w:t>、</w:t>
            </w:r>
            <w:r>
              <w:rPr>
                <w:kern w:val="0"/>
                <w:szCs w:val="21"/>
              </w:rPr>
              <w:t>温馨提示等</w:t>
            </w:r>
            <w:r>
              <w:rPr>
                <w:rFonts w:hint="eastAsia"/>
                <w:kern w:val="0"/>
                <w:szCs w:val="21"/>
              </w:rPr>
              <w:t>；</w:t>
            </w:r>
            <w:r>
              <w:rPr>
                <w:bCs/>
                <w:kern w:val="0"/>
                <w:szCs w:val="21"/>
              </w:rPr>
              <w:t>查看存档资料</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3.3.5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通过各种信息</w:t>
            </w:r>
            <w:r>
              <w:rPr>
                <w:rFonts w:hint="eastAsia"/>
                <w:kern w:val="0"/>
                <w:szCs w:val="21"/>
              </w:rPr>
              <w:t>/媒体</w:t>
            </w:r>
            <w:r>
              <w:rPr>
                <w:kern w:val="0"/>
                <w:szCs w:val="21"/>
              </w:rPr>
              <w:t>平台对师生进行安全知识传输和温馨提醒</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查看信息</w:t>
            </w:r>
            <w:r>
              <w:rPr>
                <w:rFonts w:hint="eastAsia"/>
                <w:bCs/>
                <w:kern w:val="0"/>
                <w:szCs w:val="21"/>
              </w:rPr>
              <w:t>/媒体</w:t>
            </w:r>
            <w:r>
              <w:rPr>
                <w:bCs/>
                <w:kern w:val="0"/>
                <w:szCs w:val="21"/>
              </w:rPr>
              <w:t>平台</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4</w:t>
            </w:r>
          </w:p>
        </w:tc>
        <w:tc>
          <w:tcPr>
            <w:tcW w:w="13524"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4.1</w:t>
            </w:r>
          </w:p>
        </w:tc>
        <w:tc>
          <w:tcPr>
            <w:tcW w:w="13524"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4.1.1</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学校、学院层面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查看清单和明细</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4.1.2</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4.1.3</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4.1.4</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实验室有针对本</w:t>
            </w:r>
            <w:r>
              <w:rPr>
                <w:bCs/>
                <w:kern w:val="0"/>
                <w:szCs w:val="21"/>
              </w:rPr>
              <w:t>室重要危险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4.2</w:t>
            </w:r>
          </w:p>
        </w:tc>
        <w:tc>
          <w:tcPr>
            <w:tcW w:w="13524"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4.2.1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bCs/>
                <w:kern w:val="0"/>
                <w:szCs w:val="21"/>
              </w:rPr>
              <w:t>学校层面的定期/不定期检查每年不少于4次，并记录存档</w:t>
            </w:r>
          </w:p>
        </w:tc>
        <w:tc>
          <w:tcPr>
            <w:tcW w:w="3260" w:type="dxa"/>
            <w:vMerge w:val="restart"/>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4.2.2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针对高危实验物品（如剧毒品、</w:t>
            </w:r>
            <w:r>
              <w:rPr>
                <w:kern w:val="0"/>
                <w:szCs w:val="21"/>
              </w:rPr>
              <w:t>病原微生物、</w:t>
            </w:r>
            <w:r>
              <w:rPr>
                <w:rFonts w:hint="eastAsia"/>
                <w:kern w:val="0"/>
                <w:szCs w:val="21"/>
              </w:rPr>
              <w:t>放射源等），每年有专项检查</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4.2.3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院系</w:t>
            </w:r>
            <w:r>
              <w:rPr>
                <w:kern w:val="0"/>
                <w:szCs w:val="21"/>
              </w:rPr>
              <w:t>组织</w:t>
            </w:r>
            <w:r>
              <w:rPr>
                <w:rFonts w:hint="eastAsia"/>
                <w:kern w:val="0"/>
                <w:szCs w:val="21"/>
              </w:rPr>
              <w:t>专门人员开展定期检查，每月不少于1次，并记录存档</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4.2.4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房间有值日台账，</w:t>
            </w:r>
            <w:r>
              <w:rPr>
                <w:kern w:val="0"/>
                <w:szCs w:val="21"/>
              </w:rPr>
              <w:t>每天</w:t>
            </w:r>
            <w:r>
              <w:rPr>
                <w:rFonts w:hint="eastAsia"/>
                <w:kern w:val="0"/>
                <w:szCs w:val="21"/>
              </w:rPr>
              <w:t>最后离开的人</w:t>
            </w:r>
            <w:r>
              <w:rPr>
                <w:bCs/>
                <w:kern w:val="0"/>
                <w:szCs w:val="21"/>
              </w:rPr>
              <w:t>检查水电气门窗等，并签字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4.3</w:t>
            </w:r>
          </w:p>
        </w:tc>
        <w:tc>
          <w:tcPr>
            <w:tcW w:w="13524"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4.3.1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相关负责人及院系（</w:t>
            </w:r>
            <w:r>
              <w:rPr>
                <w:kern w:val="0"/>
                <w:szCs w:val="21"/>
              </w:rPr>
              <w:t>如网上公示、整改通知书等</w:t>
            </w:r>
            <w:r>
              <w:rPr>
                <w:rFonts w:hint="eastAsia"/>
                <w:kern w:val="0"/>
                <w:szCs w:val="21"/>
              </w:rPr>
              <w:t>）</w:t>
            </w:r>
            <w:r>
              <w:rPr>
                <w:kern w:val="0"/>
                <w:szCs w:val="21"/>
              </w:rPr>
              <w:t>，并规范存档</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查院系单位签收</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4.3.2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院系</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4.3.3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如有重大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实验记录</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4.4</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4.4.1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w:t>
            </w:r>
            <w:r>
              <w:rPr>
                <w:rFonts w:hint="eastAsia"/>
                <w:bCs/>
                <w:kern w:val="0"/>
                <w:szCs w:val="21"/>
              </w:rPr>
              <w:t>公示</w:t>
            </w:r>
            <w:r>
              <w:rPr>
                <w:bCs/>
                <w:kern w:val="0"/>
                <w:szCs w:val="21"/>
              </w:rPr>
              <w:t>的</w:t>
            </w:r>
            <w:r>
              <w:rPr>
                <w:kern w:val="0"/>
                <w:szCs w:val="21"/>
              </w:rPr>
              <w:t>安全检查</w:t>
            </w:r>
            <w:r>
              <w:rPr>
                <w:rFonts w:hint="eastAsia"/>
                <w:kern w:val="0"/>
                <w:szCs w:val="21"/>
              </w:rPr>
              <w:t>通报（定期/</w:t>
            </w:r>
            <w:r>
              <w:rPr>
                <w:kern w:val="0"/>
                <w:szCs w:val="21"/>
              </w:rPr>
              <w:t>不定期</w:t>
            </w:r>
            <w:r>
              <w:rPr>
                <w:rFonts w:hint="eastAsia"/>
                <w:kern w:val="0"/>
                <w:szCs w:val="21"/>
              </w:rPr>
              <w:t>）</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查看相关资料</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4.4.3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查看相应存档内容</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4.5</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检查人员规范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4.5.1</w:t>
            </w:r>
          </w:p>
        </w:tc>
        <w:tc>
          <w:tcPr>
            <w:tcW w:w="5810" w:type="dxa"/>
            <w:shd w:val="clear" w:color="auto" w:fill="auto"/>
            <w:tcMar>
              <w:left w:w="45" w:type="dxa"/>
              <w:right w:w="45" w:type="dxa"/>
            </w:tcMar>
            <w:vAlign w:val="center"/>
          </w:tcPr>
          <w:p>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标识及相关器具，或</w:t>
            </w:r>
            <w:r>
              <w:rPr>
                <w:rFonts w:hint="eastAsia"/>
                <w:bCs/>
                <w:kern w:val="0"/>
                <w:szCs w:val="21"/>
              </w:rPr>
              <w:t>图片等原始</w:t>
            </w:r>
            <w:r>
              <w:rPr>
                <w:bCs/>
                <w:kern w:val="0"/>
                <w:szCs w:val="21"/>
              </w:rPr>
              <w:t>文件</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4.5.2</w:t>
            </w:r>
          </w:p>
        </w:tc>
        <w:tc>
          <w:tcPr>
            <w:tcW w:w="5810" w:type="dxa"/>
            <w:shd w:val="clear" w:color="auto" w:fill="auto"/>
            <w:tcMar>
              <w:left w:w="45" w:type="dxa"/>
              <w:right w:w="45" w:type="dxa"/>
            </w:tcMar>
            <w:vAlign w:val="center"/>
          </w:tcPr>
          <w:p>
            <w:pPr>
              <w:widowControl/>
              <w:spacing w:line="300" w:lineRule="exact"/>
              <w:jc w:val="left"/>
              <w:rPr>
                <w:kern w:val="0"/>
                <w:szCs w:val="21"/>
              </w:rPr>
            </w:pP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装具</w:t>
            </w:r>
            <w:r>
              <w:rPr>
                <w:bCs/>
                <w:kern w:val="0"/>
                <w:szCs w:val="21"/>
              </w:rPr>
              <w:t>，或</w:t>
            </w:r>
            <w:r>
              <w:rPr>
                <w:rFonts w:hint="eastAsia"/>
                <w:bCs/>
                <w:kern w:val="0"/>
                <w:szCs w:val="21"/>
              </w:rPr>
              <w:t>图片等原始</w:t>
            </w:r>
            <w:r>
              <w:rPr>
                <w:bCs/>
                <w:kern w:val="0"/>
                <w:szCs w:val="21"/>
              </w:rPr>
              <w:t>文件</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4.5.3</w:t>
            </w:r>
          </w:p>
        </w:tc>
        <w:tc>
          <w:tcPr>
            <w:tcW w:w="5810" w:type="dxa"/>
            <w:shd w:val="clear" w:color="auto" w:fill="auto"/>
            <w:tcMar>
              <w:left w:w="45" w:type="dxa"/>
              <w:right w:w="45" w:type="dxa"/>
            </w:tcMar>
            <w:vAlign w:val="center"/>
          </w:tcPr>
          <w:p>
            <w:pPr>
              <w:widowControl/>
              <w:spacing w:line="300" w:lineRule="exact"/>
              <w:jc w:val="left"/>
              <w:rPr>
                <w:kern w:val="0"/>
                <w:szCs w:val="21"/>
              </w:rPr>
            </w:pPr>
            <w:r>
              <w:rPr>
                <w:szCs w:val="21"/>
              </w:rPr>
              <w:t>检查辐射场所要佩戴</w:t>
            </w:r>
            <w:r>
              <w:rPr>
                <w:rFonts w:hint="eastAsia"/>
                <w:szCs w:val="21"/>
              </w:rPr>
              <w:t>个人</w:t>
            </w:r>
            <w:r>
              <w:rPr>
                <w:szCs w:val="21"/>
              </w:rPr>
              <w:t>辐射剂量计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剂量计</w:t>
            </w:r>
            <w:r>
              <w:rPr>
                <w:bCs/>
                <w:kern w:val="0"/>
                <w:szCs w:val="21"/>
              </w:rPr>
              <w:t>，或</w:t>
            </w:r>
            <w:r>
              <w:rPr>
                <w:rFonts w:hint="eastAsia"/>
                <w:bCs/>
                <w:kern w:val="0"/>
                <w:szCs w:val="21"/>
              </w:rPr>
              <w:t>图片等原始</w:t>
            </w:r>
            <w:r>
              <w:rPr>
                <w:bCs/>
                <w:kern w:val="0"/>
                <w:szCs w:val="21"/>
              </w:rPr>
              <w:t>文件</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4.5.4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用具</w:t>
            </w:r>
            <w:r>
              <w:rPr>
                <w:bCs/>
                <w:kern w:val="0"/>
                <w:szCs w:val="21"/>
              </w:rPr>
              <w:t>，或</w:t>
            </w:r>
            <w:r>
              <w:rPr>
                <w:rFonts w:hint="eastAsia"/>
                <w:bCs/>
                <w:kern w:val="0"/>
                <w:szCs w:val="21"/>
              </w:rPr>
              <w:t>图片等原始</w:t>
            </w:r>
            <w:r>
              <w:rPr>
                <w:bCs/>
                <w:kern w:val="0"/>
                <w:szCs w:val="21"/>
              </w:rPr>
              <w:t>文件</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5</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5.1</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场所</w:t>
            </w:r>
            <w:r>
              <w:rPr>
                <w:rFonts w:hint="eastAsia"/>
                <w:b/>
                <w:kern w:val="0"/>
                <w:szCs w:val="21"/>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szCs w:val="21"/>
              </w:rPr>
              <w:t>5.1.1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室内外</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szCs w:val="21"/>
              </w:rPr>
              <w:t>5.1.2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有信息牌，信息完整，应急电话有效</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szCs w:val="21"/>
              </w:rPr>
              <w:t>5.1.3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实验室应张贴针对安全风险点的警示标识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szCs w:val="21"/>
              </w:rPr>
              <w:t>5.1.4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实验室消防通道通畅，公共场所、通道不堆放仪器、物品</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消防通道通畅</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szCs w:val="21"/>
              </w:rPr>
            </w:pPr>
            <w:r>
              <w:rPr>
                <w:rFonts w:eastAsia="黑体"/>
                <w:szCs w:val="21"/>
              </w:rPr>
              <w:t>5.1.5</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），但必须保证留有大于2.0米净宽的消防通道，需</w:t>
            </w:r>
            <w:r>
              <w:rPr>
                <w:szCs w:val="21"/>
              </w:rPr>
              <w:t>向学校报</w:t>
            </w:r>
            <w:r>
              <w:rPr>
                <w:rFonts w:hint="eastAsia"/>
                <w:szCs w:val="21"/>
              </w:rPr>
              <w:t>批；不得放置加热、机械运动设备</w:t>
            </w:r>
          </w:p>
        </w:tc>
        <w:tc>
          <w:tcPr>
            <w:tcW w:w="3260" w:type="dxa"/>
            <w:shd w:val="clear" w:color="auto" w:fill="auto"/>
            <w:tcMar>
              <w:left w:w="45" w:type="dxa"/>
              <w:right w:w="45" w:type="dxa"/>
            </w:tcMar>
            <w:vAlign w:val="center"/>
          </w:tcPr>
          <w:p>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599" w:type="dxa"/>
            <w:tcMar>
              <w:left w:w="45" w:type="dxa"/>
              <w:right w:w="45" w:type="dxa"/>
            </w:tcMar>
            <w:vAlign w:val="center"/>
          </w:tcPr>
          <w:p>
            <w:pPr>
              <w:widowControl/>
              <w:spacing w:line="300" w:lineRule="exact"/>
              <w:jc w:val="center"/>
              <w:rPr>
                <w:bCs/>
                <w:szCs w:val="21"/>
              </w:rPr>
            </w:pPr>
          </w:p>
        </w:tc>
        <w:tc>
          <w:tcPr>
            <w:tcW w:w="853" w:type="dxa"/>
            <w:vAlign w:val="center"/>
          </w:tcPr>
          <w:p>
            <w:pPr>
              <w:widowControl/>
              <w:spacing w:line="300" w:lineRule="exact"/>
              <w:jc w:val="center"/>
              <w:rPr>
                <w:bCs/>
                <w:szCs w:val="21"/>
              </w:rPr>
            </w:pPr>
          </w:p>
        </w:tc>
        <w:tc>
          <w:tcPr>
            <w:tcW w:w="882" w:type="dxa"/>
            <w:vAlign w:val="center"/>
          </w:tcPr>
          <w:p>
            <w:pPr>
              <w:widowControl/>
              <w:spacing w:line="300" w:lineRule="exact"/>
              <w:jc w:val="center"/>
              <w:rPr>
                <w:bCs/>
                <w:szCs w:val="21"/>
              </w:rPr>
            </w:pPr>
          </w:p>
        </w:tc>
        <w:tc>
          <w:tcPr>
            <w:tcW w:w="2120" w:type="dxa"/>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szCs w:val="21"/>
              </w:rPr>
              <w:t>5.1.6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实验室门上有观察窗，外开门不阻挡逃生路径</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szCs w:val="21"/>
              </w:rPr>
              <w:t>5.1.7</w:t>
            </w:r>
          </w:p>
        </w:tc>
        <w:tc>
          <w:tcPr>
            <w:tcW w:w="5810" w:type="dxa"/>
            <w:shd w:val="clear" w:color="auto" w:fill="auto"/>
            <w:tcMar>
              <w:left w:w="45" w:type="dxa"/>
              <w:right w:w="45" w:type="dxa"/>
            </w:tcMar>
            <w:vAlign w:val="center"/>
          </w:tcPr>
          <w:p>
            <w:pPr>
              <w:widowControl/>
              <w:spacing w:line="300" w:lineRule="exact"/>
              <w:rPr>
                <w:kern w:val="0"/>
                <w:szCs w:val="21"/>
              </w:rPr>
            </w:pPr>
            <w:r>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szCs w:val="21"/>
              </w:rPr>
              <w:t>5.1.8</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实验室人均面积符合规定要求，其中理工农医类不小于2.5平方米/人，社科类不小于1.5平方米/人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观察实验台</w:t>
            </w:r>
            <w:r>
              <w:rPr>
                <w:bCs/>
                <w:szCs w:val="21"/>
              </w:rPr>
              <w:t>与总面积</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szCs w:val="21"/>
              </w:rPr>
            </w:pPr>
            <w:r>
              <w:rPr>
                <w:rFonts w:eastAsia="黑体"/>
                <w:szCs w:val="21"/>
              </w:rPr>
              <w:t>5.1.9</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随意搭建阁楼，操作区层高不低于</w:t>
            </w:r>
            <w:r>
              <w:rPr>
                <w:rFonts w:hint="eastAsia"/>
                <w:szCs w:val="21"/>
              </w:rPr>
              <w:t>2米</w:t>
            </w:r>
          </w:p>
        </w:tc>
        <w:tc>
          <w:tcPr>
            <w:tcW w:w="3260" w:type="dxa"/>
            <w:shd w:val="clear" w:color="auto" w:fill="auto"/>
            <w:tcMar>
              <w:left w:w="45" w:type="dxa"/>
              <w:right w:w="45" w:type="dxa"/>
            </w:tcMar>
            <w:vAlign w:val="center"/>
          </w:tcPr>
          <w:p>
            <w:pPr>
              <w:widowControl/>
              <w:spacing w:line="300" w:lineRule="exact"/>
              <w:jc w:val="left"/>
              <w:rPr>
                <w:bCs/>
                <w:szCs w:val="21"/>
              </w:rPr>
            </w:pPr>
            <w:r>
              <w:rPr>
                <w:rFonts w:hint="eastAsia"/>
                <w:bCs/>
                <w:szCs w:val="21"/>
              </w:rPr>
              <w:t>查看现场</w:t>
            </w:r>
          </w:p>
        </w:tc>
        <w:tc>
          <w:tcPr>
            <w:tcW w:w="599" w:type="dxa"/>
            <w:tcMar>
              <w:left w:w="45" w:type="dxa"/>
              <w:right w:w="45" w:type="dxa"/>
            </w:tcMar>
            <w:vAlign w:val="center"/>
          </w:tcPr>
          <w:p>
            <w:pPr>
              <w:widowControl/>
              <w:spacing w:line="300" w:lineRule="exact"/>
              <w:jc w:val="center"/>
              <w:rPr>
                <w:bCs/>
                <w:szCs w:val="21"/>
              </w:rPr>
            </w:pPr>
          </w:p>
        </w:tc>
        <w:tc>
          <w:tcPr>
            <w:tcW w:w="853" w:type="dxa"/>
            <w:vAlign w:val="center"/>
          </w:tcPr>
          <w:p>
            <w:pPr>
              <w:widowControl/>
              <w:spacing w:line="300" w:lineRule="exact"/>
              <w:jc w:val="center"/>
              <w:rPr>
                <w:bCs/>
                <w:szCs w:val="21"/>
              </w:rPr>
            </w:pPr>
          </w:p>
        </w:tc>
        <w:tc>
          <w:tcPr>
            <w:tcW w:w="882" w:type="dxa"/>
            <w:vAlign w:val="center"/>
          </w:tcPr>
          <w:p>
            <w:pPr>
              <w:widowControl/>
              <w:spacing w:line="300" w:lineRule="exact"/>
              <w:jc w:val="center"/>
              <w:rPr>
                <w:bCs/>
                <w:szCs w:val="21"/>
              </w:rPr>
            </w:pPr>
          </w:p>
        </w:tc>
        <w:tc>
          <w:tcPr>
            <w:tcW w:w="2120" w:type="dxa"/>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szCs w:val="21"/>
              </w:rPr>
              <w:t>5.1.10</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实验操作台应选用合格的防火、防腐材料</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实验台材料合格</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szCs w:val="21"/>
              </w:rPr>
              <w:t>5.1.11</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szCs w:val="21"/>
              </w:rPr>
              <w:t>5.1.12</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容易产生振动的设备，需考虑振动源的屏蔽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有必要的振动屏蔽措施</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szCs w:val="21"/>
              </w:rPr>
              <w:t>5.1.13</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易对外产生磁场或易受磁场干扰的设备，需做好磁屏蔽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有必要的磁屏蔽措施</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szCs w:val="21"/>
              </w:rPr>
              <w:t>5.1.14</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照明良好，桌面光照度一般不小于150</w:t>
            </w:r>
            <w:r>
              <w:rPr>
                <w:szCs w:val="21"/>
              </w:rPr>
              <w:t xml:space="preserve"> </w:t>
            </w:r>
            <w:r>
              <w:rPr>
                <w:rFonts w:hint="eastAsia"/>
                <w:szCs w:val="21"/>
              </w:rPr>
              <w:t>LX</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照明良好</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szCs w:val="21"/>
              </w:rPr>
              <w:t>5.1.15</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噪声一般低于55分贝（机械设备可低于70分贝）</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噪声达标</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szCs w:val="21"/>
              </w:rPr>
            </w:pPr>
            <w:r>
              <w:rPr>
                <w:rFonts w:eastAsia="黑体"/>
                <w:szCs w:val="21"/>
              </w:rPr>
              <w:t>5.1.16</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有可燃气体的实验室不能设吊顶</w:t>
            </w:r>
          </w:p>
        </w:tc>
        <w:tc>
          <w:tcPr>
            <w:tcW w:w="3260" w:type="dxa"/>
            <w:shd w:val="clear" w:color="auto" w:fill="auto"/>
            <w:tcMar>
              <w:left w:w="45" w:type="dxa"/>
              <w:right w:w="45" w:type="dxa"/>
            </w:tcMar>
            <w:vAlign w:val="center"/>
          </w:tcPr>
          <w:p>
            <w:pPr>
              <w:widowControl/>
              <w:spacing w:line="300" w:lineRule="exact"/>
              <w:jc w:val="left"/>
              <w:rPr>
                <w:bCs/>
                <w:szCs w:val="21"/>
              </w:rPr>
            </w:pPr>
            <w:r>
              <w:rPr>
                <w:rFonts w:hint="eastAsia"/>
                <w:bCs/>
                <w:szCs w:val="21"/>
              </w:rPr>
              <w:t>查看</w:t>
            </w:r>
            <w:r>
              <w:rPr>
                <w:bCs/>
                <w:szCs w:val="21"/>
              </w:rPr>
              <w:t>现场或实验室图片</w:t>
            </w:r>
          </w:p>
        </w:tc>
        <w:tc>
          <w:tcPr>
            <w:tcW w:w="599" w:type="dxa"/>
            <w:tcMar>
              <w:left w:w="45" w:type="dxa"/>
              <w:right w:w="45" w:type="dxa"/>
            </w:tcMar>
            <w:vAlign w:val="center"/>
          </w:tcPr>
          <w:p>
            <w:pPr>
              <w:widowControl/>
              <w:spacing w:line="300" w:lineRule="exact"/>
              <w:jc w:val="center"/>
              <w:rPr>
                <w:bCs/>
                <w:szCs w:val="21"/>
              </w:rPr>
            </w:pPr>
          </w:p>
        </w:tc>
        <w:tc>
          <w:tcPr>
            <w:tcW w:w="853" w:type="dxa"/>
            <w:vAlign w:val="center"/>
          </w:tcPr>
          <w:p>
            <w:pPr>
              <w:widowControl/>
              <w:spacing w:line="300" w:lineRule="exact"/>
              <w:jc w:val="center"/>
              <w:rPr>
                <w:bCs/>
                <w:szCs w:val="21"/>
              </w:rPr>
            </w:pPr>
          </w:p>
        </w:tc>
        <w:tc>
          <w:tcPr>
            <w:tcW w:w="882" w:type="dxa"/>
            <w:vAlign w:val="center"/>
          </w:tcPr>
          <w:p>
            <w:pPr>
              <w:widowControl/>
              <w:spacing w:line="300" w:lineRule="exact"/>
              <w:jc w:val="center"/>
              <w:rPr>
                <w:bCs/>
                <w:szCs w:val="21"/>
              </w:rPr>
            </w:pPr>
          </w:p>
        </w:tc>
        <w:tc>
          <w:tcPr>
            <w:tcW w:w="2120" w:type="dxa"/>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szCs w:val="21"/>
              </w:rPr>
            </w:pPr>
            <w:r>
              <w:rPr>
                <w:rFonts w:eastAsia="黑体"/>
                <w:szCs w:val="21"/>
              </w:rPr>
              <w:t>5.1.17</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3260" w:type="dxa"/>
            <w:shd w:val="clear" w:color="auto" w:fill="auto"/>
            <w:tcMar>
              <w:left w:w="45" w:type="dxa"/>
              <w:right w:w="45" w:type="dxa"/>
            </w:tcMar>
            <w:vAlign w:val="center"/>
          </w:tcPr>
          <w:p>
            <w:pPr>
              <w:widowControl/>
              <w:spacing w:line="300" w:lineRule="exact"/>
              <w:jc w:val="left"/>
              <w:rPr>
                <w:bCs/>
                <w:szCs w:val="21"/>
              </w:rPr>
            </w:pPr>
            <w:r>
              <w:rPr>
                <w:rFonts w:hint="eastAsia"/>
                <w:bCs/>
                <w:szCs w:val="21"/>
              </w:rPr>
              <w:t>查看</w:t>
            </w:r>
            <w:r>
              <w:rPr>
                <w:bCs/>
                <w:szCs w:val="21"/>
              </w:rPr>
              <w:t>现场</w:t>
            </w:r>
          </w:p>
        </w:tc>
        <w:tc>
          <w:tcPr>
            <w:tcW w:w="599" w:type="dxa"/>
            <w:tcMar>
              <w:left w:w="45" w:type="dxa"/>
              <w:right w:w="45" w:type="dxa"/>
            </w:tcMar>
            <w:vAlign w:val="center"/>
          </w:tcPr>
          <w:p>
            <w:pPr>
              <w:widowControl/>
              <w:spacing w:line="300" w:lineRule="exact"/>
              <w:jc w:val="center"/>
              <w:rPr>
                <w:bCs/>
                <w:szCs w:val="21"/>
              </w:rPr>
            </w:pPr>
          </w:p>
        </w:tc>
        <w:tc>
          <w:tcPr>
            <w:tcW w:w="853" w:type="dxa"/>
            <w:vAlign w:val="center"/>
          </w:tcPr>
          <w:p>
            <w:pPr>
              <w:widowControl/>
              <w:spacing w:line="300" w:lineRule="exact"/>
              <w:jc w:val="center"/>
              <w:rPr>
                <w:bCs/>
                <w:szCs w:val="21"/>
              </w:rPr>
            </w:pPr>
          </w:p>
        </w:tc>
        <w:tc>
          <w:tcPr>
            <w:tcW w:w="882" w:type="dxa"/>
            <w:vAlign w:val="center"/>
          </w:tcPr>
          <w:p>
            <w:pPr>
              <w:widowControl/>
              <w:spacing w:line="300" w:lineRule="exact"/>
              <w:jc w:val="center"/>
              <w:rPr>
                <w:bCs/>
                <w:szCs w:val="21"/>
              </w:rPr>
            </w:pPr>
          </w:p>
        </w:tc>
        <w:tc>
          <w:tcPr>
            <w:tcW w:w="2120" w:type="dxa"/>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b/>
                <w:kern w:val="0"/>
                <w:szCs w:val="21"/>
              </w:rPr>
              <w:t>5.2</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管线基础安全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szCs w:val="21"/>
              </w:rPr>
              <w:t>5.2.1</w:t>
            </w:r>
          </w:p>
        </w:tc>
        <w:tc>
          <w:tcPr>
            <w:tcW w:w="5810" w:type="dxa"/>
            <w:shd w:val="clear" w:color="auto" w:fill="auto"/>
            <w:tcMar>
              <w:left w:w="45" w:type="dxa"/>
              <w:right w:w="45" w:type="dxa"/>
            </w:tcMar>
            <w:vAlign w:val="center"/>
          </w:tcPr>
          <w:p>
            <w:pPr>
              <w:spacing w:line="300" w:lineRule="exact"/>
              <w:jc w:val="left"/>
              <w:rPr>
                <w:rFonts w:ascii="宋体" w:hAnsi="宋体" w:cs="宋体"/>
                <w:szCs w:val="21"/>
              </w:rPr>
            </w:pPr>
            <w:r>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管线布局合理</w:t>
            </w:r>
          </w:p>
        </w:tc>
        <w:tc>
          <w:tcPr>
            <w:tcW w:w="599" w:type="dxa"/>
            <w:tcMar>
              <w:left w:w="45" w:type="dxa"/>
              <w:right w:w="45" w:type="dxa"/>
            </w:tcMar>
            <w:vAlign w:val="center"/>
          </w:tcPr>
          <w:p>
            <w:pPr>
              <w:spacing w:line="300" w:lineRule="exact"/>
              <w:jc w:val="center"/>
              <w:rPr>
                <w:bCs/>
                <w:szCs w:val="21"/>
              </w:rPr>
            </w:pPr>
          </w:p>
        </w:tc>
        <w:tc>
          <w:tcPr>
            <w:tcW w:w="853" w:type="dxa"/>
            <w:vAlign w:val="center"/>
          </w:tcPr>
          <w:p>
            <w:pPr>
              <w:spacing w:line="300" w:lineRule="exact"/>
              <w:jc w:val="center"/>
              <w:rPr>
                <w:bCs/>
                <w:szCs w:val="21"/>
              </w:rPr>
            </w:pPr>
          </w:p>
        </w:tc>
        <w:tc>
          <w:tcPr>
            <w:tcW w:w="882" w:type="dxa"/>
            <w:vAlign w:val="center"/>
          </w:tcPr>
          <w:p>
            <w:pPr>
              <w:spacing w:line="300" w:lineRule="exact"/>
              <w:jc w:val="center"/>
              <w:rPr>
                <w:bCs/>
                <w:szCs w:val="21"/>
              </w:rPr>
            </w:pPr>
          </w:p>
        </w:tc>
        <w:tc>
          <w:tcPr>
            <w:tcW w:w="212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szCs w:val="21"/>
              </w:rPr>
              <w:t>5.2.2</w:t>
            </w:r>
          </w:p>
        </w:tc>
        <w:tc>
          <w:tcPr>
            <w:tcW w:w="5810" w:type="dxa"/>
            <w:shd w:val="clear" w:color="auto" w:fill="auto"/>
            <w:tcMar>
              <w:left w:w="45" w:type="dxa"/>
              <w:right w:w="45" w:type="dxa"/>
            </w:tcMar>
            <w:vAlign w:val="center"/>
          </w:tcPr>
          <w:p>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供气管道有标识，无破损</w:t>
            </w:r>
          </w:p>
        </w:tc>
        <w:tc>
          <w:tcPr>
            <w:tcW w:w="599" w:type="dxa"/>
            <w:tcMar>
              <w:left w:w="45" w:type="dxa"/>
              <w:right w:w="45" w:type="dxa"/>
            </w:tcMar>
            <w:vAlign w:val="center"/>
          </w:tcPr>
          <w:p>
            <w:pPr>
              <w:spacing w:line="300" w:lineRule="exact"/>
              <w:jc w:val="center"/>
              <w:rPr>
                <w:bCs/>
                <w:szCs w:val="21"/>
              </w:rPr>
            </w:pPr>
          </w:p>
        </w:tc>
        <w:tc>
          <w:tcPr>
            <w:tcW w:w="853" w:type="dxa"/>
            <w:vAlign w:val="center"/>
          </w:tcPr>
          <w:p>
            <w:pPr>
              <w:spacing w:line="300" w:lineRule="exact"/>
              <w:jc w:val="center"/>
              <w:rPr>
                <w:bCs/>
                <w:szCs w:val="21"/>
              </w:rPr>
            </w:pPr>
          </w:p>
        </w:tc>
        <w:tc>
          <w:tcPr>
            <w:tcW w:w="882" w:type="dxa"/>
            <w:vAlign w:val="center"/>
          </w:tcPr>
          <w:p>
            <w:pPr>
              <w:spacing w:line="300" w:lineRule="exact"/>
              <w:jc w:val="center"/>
              <w:rPr>
                <w:bCs/>
                <w:szCs w:val="21"/>
              </w:rPr>
            </w:pPr>
          </w:p>
        </w:tc>
        <w:tc>
          <w:tcPr>
            <w:tcW w:w="212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szCs w:val="21"/>
              </w:rPr>
              <w:t>5.2.3</w:t>
            </w:r>
          </w:p>
        </w:tc>
        <w:tc>
          <w:tcPr>
            <w:tcW w:w="5810" w:type="dxa"/>
            <w:shd w:val="clear" w:color="auto" w:fill="auto"/>
            <w:tcMar>
              <w:left w:w="45" w:type="dxa"/>
              <w:right w:w="45" w:type="dxa"/>
            </w:tcMar>
            <w:vAlign w:val="center"/>
          </w:tcPr>
          <w:p>
            <w:pPr>
              <w:spacing w:line="300" w:lineRule="exact"/>
              <w:jc w:val="left"/>
              <w:rPr>
                <w:rFonts w:ascii="宋体" w:hAnsi="宋体" w:cs="宋体"/>
                <w:szCs w:val="21"/>
              </w:rPr>
            </w:pPr>
            <w:r>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可燃气管道远离高温、明火</w:t>
            </w:r>
          </w:p>
        </w:tc>
        <w:tc>
          <w:tcPr>
            <w:tcW w:w="599" w:type="dxa"/>
            <w:tcMar>
              <w:left w:w="45" w:type="dxa"/>
              <w:right w:w="45" w:type="dxa"/>
            </w:tcMar>
            <w:vAlign w:val="center"/>
          </w:tcPr>
          <w:p>
            <w:pPr>
              <w:spacing w:line="300" w:lineRule="exact"/>
              <w:jc w:val="center"/>
              <w:rPr>
                <w:bCs/>
                <w:szCs w:val="21"/>
              </w:rPr>
            </w:pPr>
          </w:p>
        </w:tc>
        <w:tc>
          <w:tcPr>
            <w:tcW w:w="853" w:type="dxa"/>
            <w:vAlign w:val="center"/>
          </w:tcPr>
          <w:p>
            <w:pPr>
              <w:spacing w:line="300" w:lineRule="exact"/>
              <w:jc w:val="center"/>
              <w:rPr>
                <w:bCs/>
                <w:szCs w:val="21"/>
              </w:rPr>
            </w:pPr>
          </w:p>
        </w:tc>
        <w:tc>
          <w:tcPr>
            <w:tcW w:w="882" w:type="dxa"/>
            <w:vAlign w:val="center"/>
          </w:tcPr>
          <w:p>
            <w:pPr>
              <w:spacing w:line="300" w:lineRule="exact"/>
              <w:jc w:val="center"/>
              <w:rPr>
                <w:bCs/>
                <w:szCs w:val="21"/>
              </w:rPr>
            </w:pPr>
          </w:p>
        </w:tc>
        <w:tc>
          <w:tcPr>
            <w:tcW w:w="212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5.3</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卫生与</w:t>
            </w:r>
            <w:r>
              <w:rPr>
                <w:rFonts w:hint="eastAsia"/>
                <w:b/>
                <w:kern w:val="0"/>
                <w:szCs w:val="21"/>
              </w:rPr>
              <w:t>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szCs w:val="21"/>
              </w:rPr>
              <w:t>5.3.1</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599" w:type="dxa"/>
            <w:tcMar>
              <w:left w:w="45" w:type="dxa"/>
              <w:right w:w="45" w:type="dxa"/>
            </w:tcMar>
            <w:vAlign w:val="center"/>
          </w:tcPr>
          <w:p>
            <w:pPr>
              <w:spacing w:line="300" w:lineRule="exact"/>
              <w:jc w:val="center"/>
              <w:rPr>
                <w:bCs/>
                <w:szCs w:val="21"/>
              </w:rPr>
            </w:pPr>
          </w:p>
        </w:tc>
        <w:tc>
          <w:tcPr>
            <w:tcW w:w="853" w:type="dxa"/>
            <w:vAlign w:val="center"/>
          </w:tcPr>
          <w:p>
            <w:pPr>
              <w:spacing w:line="300" w:lineRule="exact"/>
              <w:jc w:val="center"/>
              <w:rPr>
                <w:bCs/>
                <w:szCs w:val="21"/>
              </w:rPr>
            </w:pPr>
          </w:p>
        </w:tc>
        <w:tc>
          <w:tcPr>
            <w:tcW w:w="882" w:type="dxa"/>
            <w:vAlign w:val="center"/>
          </w:tcPr>
          <w:p>
            <w:pPr>
              <w:spacing w:line="300" w:lineRule="exact"/>
              <w:jc w:val="center"/>
              <w:rPr>
                <w:bCs/>
                <w:szCs w:val="21"/>
              </w:rPr>
            </w:pPr>
          </w:p>
        </w:tc>
        <w:tc>
          <w:tcPr>
            <w:tcW w:w="212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szCs w:val="21"/>
              </w:rPr>
              <w:t>5.3.2</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整洁卫生有序</w:t>
            </w:r>
          </w:p>
        </w:tc>
        <w:tc>
          <w:tcPr>
            <w:tcW w:w="599" w:type="dxa"/>
            <w:tcMar>
              <w:left w:w="45" w:type="dxa"/>
              <w:right w:w="45" w:type="dxa"/>
            </w:tcMar>
            <w:vAlign w:val="center"/>
          </w:tcPr>
          <w:p>
            <w:pPr>
              <w:spacing w:line="300" w:lineRule="exact"/>
              <w:jc w:val="center"/>
              <w:rPr>
                <w:bCs/>
                <w:szCs w:val="21"/>
              </w:rPr>
            </w:pPr>
          </w:p>
        </w:tc>
        <w:tc>
          <w:tcPr>
            <w:tcW w:w="853" w:type="dxa"/>
            <w:vAlign w:val="center"/>
          </w:tcPr>
          <w:p>
            <w:pPr>
              <w:spacing w:line="300" w:lineRule="exact"/>
              <w:jc w:val="center"/>
              <w:rPr>
                <w:bCs/>
                <w:szCs w:val="21"/>
              </w:rPr>
            </w:pPr>
          </w:p>
        </w:tc>
        <w:tc>
          <w:tcPr>
            <w:tcW w:w="882" w:type="dxa"/>
            <w:vAlign w:val="center"/>
          </w:tcPr>
          <w:p>
            <w:pPr>
              <w:spacing w:line="300" w:lineRule="exact"/>
              <w:jc w:val="center"/>
              <w:rPr>
                <w:bCs/>
                <w:szCs w:val="21"/>
              </w:rPr>
            </w:pPr>
          </w:p>
        </w:tc>
        <w:tc>
          <w:tcPr>
            <w:tcW w:w="212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szCs w:val="21"/>
              </w:rPr>
              <w:t>5.3.3</w:t>
            </w:r>
          </w:p>
        </w:tc>
        <w:tc>
          <w:tcPr>
            <w:tcW w:w="5810" w:type="dxa"/>
            <w:shd w:val="clear" w:color="auto" w:fill="auto"/>
            <w:tcMar>
              <w:left w:w="45" w:type="dxa"/>
              <w:right w:w="45" w:type="dxa"/>
            </w:tcMar>
            <w:vAlign w:val="center"/>
          </w:tcPr>
          <w:p>
            <w:pPr>
              <w:spacing w:line="300" w:lineRule="exact"/>
              <w:jc w:val="left"/>
              <w:rPr>
                <w:rFonts w:ascii="宋体" w:hAnsi="宋体" w:cs="宋体"/>
                <w:szCs w:val="21"/>
              </w:rPr>
            </w:pPr>
            <w:r>
              <w:rPr>
                <w:rFonts w:hint="eastAsia"/>
                <w:szCs w:val="21"/>
              </w:rPr>
              <w:t>不存在门开着而无人的现象</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人员要在岗</w:t>
            </w:r>
          </w:p>
        </w:tc>
        <w:tc>
          <w:tcPr>
            <w:tcW w:w="599" w:type="dxa"/>
            <w:tcMar>
              <w:left w:w="45" w:type="dxa"/>
              <w:right w:w="45" w:type="dxa"/>
            </w:tcMar>
            <w:vAlign w:val="center"/>
          </w:tcPr>
          <w:p>
            <w:pPr>
              <w:spacing w:line="300" w:lineRule="exact"/>
              <w:jc w:val="center"/>
              <w:rPr>
                <w:bCs/>
                <w:szCs w:val="21"/>
              </w:rPr>
            </w:pPr>
          </w:p>
        </w:tc>
        <w:tc>
          <w:tcPr>
            <w:tcW w:w="853" w:type="dxa"/>
            <w:vAlign w:val="center"/>
          </w:tcPr>
          <w:p>
            <w:pPr>
              <w:spacing w:line="300" w:lineRule="exact"/>
              <w:jc w:val="center"/>
              <w:rPr>
                <w:bCs/>
                <w:szCs w:val="21"/>
              </w:rPr>
            </w:pPr>
          </w:p>
        </w:tc>
        <w:tc>
          <w:tcPr>
            <w:tcW w:w="882" w:type="dxa"/>
            <w:vAlign w:val="center"/>
          </w:tcPr>
          <w:p>
            <w:pPr>
              <w:spacing w:line="300" w:lineRule="exact"/>
              <w:jc w:val="center"/>
              <w:rPr>
                <w:bCs/>
                <w:szCs w:val="21"/>
              </w:rPr>
            </w:pPr>
          </w:p>
        </w:tc>
        <w:tc>
          <w:tcPr>
            <w:tcW w:w="212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szCs w:val="21"/>
              </w:rPr>
              <w:t>5.3.4</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无废弃物品（如纸板箱、废电脑、破仪器、破家具等）</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599" w:type="dxa"/>
            <w:tcMar>
              <w:left w:w="45" w:type="dxa"/>
              <w:right w:w="45" w:type="dxa"/>
            </w:tcMar>
            <w:vAlign w:val="center"/>
          </w:tcPr>
          <w:p>
            <w:pPr>
              <w:spacing w:line="300" w:lineRule="exact"/>
              <w:jc w:val="center"/>
              <w:rPr>
                <w:bCs/>
                <w:szCs w:val="21"/>
              </w:rPr>
            </w:pPr>
          </w:p>
        </w:tc>
        <w:tc>
          <w:tcPr>
            <w:tcW w:w="853" w:type="dxa"/>
            <w:vAlign w:val="center"/>
          </w:tcPr>
          <w:p>
            <w:pPr>
              <w:spacing w:line="300" w:lineRule="exact"/>
              <w:jc w:val="center"/>
              <w:rPr>
                <w:bCs/>
                <w:szCs w:val="21"/>
              </w:rPr>
            </w:pPr>
          </w:p>
        </w:tc>
        <w:tc>
          <w:tcPr>
            <w:tcW w:w="882" w:type="dxa"/>
            <w:vAlign w:val="center"/>
          </w:tcPr>
          <w:p>
            <w:pPr>
              <w:spacing w:line="300" w:lineRule="exact"/>
              <w:jc w:val="center"/>
              <w:rPr>
                <w:bCs/>
                <w:szCs w:val="21"/>
              </w:rPr>
            </w:pPr>
          </w:p>
        </w:tc>
        <w:tc>
          <w:tcPr>
            <w:tcW w:w="212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szCs w:val="21"/>
              </w:rPr>
              <w:t>5.3.5</w:t>
            </w:r>
          </w:p>
        </w:tc>
        <w:tc>
          <w:tcPr>
            <w:tcW w:w="5810" w:type="dxa"/>
            <w:shd w:val="clear" w:color="auto" w:fill="auto"/>
            <w:tcMar>
              <w:left w:w="45" w:type="dxa"/>
              <w:right w:w="45" w:type="dxa"/>
            </w:tcMar>
            <w:vAlign w:val="center"/>
          </w:tcPr>
          <w:p>
            <w:pPr>
              <w:spacing w:line="300" w:lineRule="exact"/>
              <w:rPr>
                <w:szCs w:val="21"/>
              </w:rPr>
            </w:pPr>
            <w:r>
              <w:rPr>
                <w:rFonts w:hint="eastAsia"/>
                <w:szCs w:val="21"/>
              </w:rPr>
              <w:t>实验室</w:t>
            </w:r>
            <w:r>
              <w:rPr>
                <w:szCs w:val="21"/>
              </w:rPr>
              <w:t>有卫生安全值日表，有执行记录</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记录表</w:t>
            </w:r>
          </w:p>
        </w:tc>
        <w:tc>
          <w:tcPr>
            <w:tcW w:w="599" w:type="dxa"/>
            <w:tcMar>
              <w:left w:w="45" w:type="dxa"/>
              <w:right w:w="45" w:type="dxa"/>
            </w:tcMar>
            <w:vAlign w:val="center"/>
          </w:tcPr>
          <w:p>
            <w:pPr>
              <w:spacing w:line="300" w:lineRule="exact"/>
              <w:jc w:val="center"/>
              <w:rPr>
                <w:bCs/>
                <w:szCs w:val="21"/>
              </w:rPr>
            </w:pPr>
          </w:p>
        </w:tc>
        <w:tc>
          <w:tcPr>
            <w:tcW w:w="853" w:type="dxa"/>
            <w:vAlign w:val="center"/>
          </w:tcPr>
          <w:p>
            <w:pPr>
              <w:spacing w:line="300" w:lineRule="exact"/>
              <w:jc w:val="center"/>
              <w:rPr>
                <w:bCs/>
                <w:szCs w:val="21"/>
              </w:rPr>
            </w:pPr>
          </w:p>
        </w:tc>
        <w:tc>
          <w:tcPr>
            <w:tcW w:w="882" w:type="dxa"/>
            <w:vAlign w:val="center"/>
          </w:tcPr>
          <w:p>
            <w:pPr>
              <w:spacing w:line="300" w:lineRule="exact"/>
              <w:jc w:val="center"/>
              <w:rPr>
                <w:bCs/>
                <w:szCs w:val="21"/>
              </w:rPr>
            </w:pPr>
          </w:p>
        </w:tc>
        <w:tc>
          <w:tcPr>
            <w:tcW w:w="212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5.4</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场所其它安全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szCs w:val="21"/>
              </w:rPr>
              <w:t>5.4.1</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599" w:type="dxa"/>
            <w:tcMar>
              <w:left w:w="45" w:type="dxa"/>
              <w:right w:w="45" w:type="dxa"/>
            </w:tcMar>
            <w:vAlign w:val="center"/>
          </w:tcPr>
          <w:p>
            <w:pPr>
              <w:spacing w:line="300" w:lineRule="exact"/>
              <w:jc w:val="center"/>
              <w:rPr>
                <w:bCs/>
                <w:szCs w:val="21"/>
              </w:rPr>
            </w:pPr>
          </w:p>
        </w:tc>
        <w:tc>
          <w:tcPr>
            <w:tcW w:w="853" w:type="dxa"/>
            <w:vAlign w:val="center"/>
          </w:tcPr>
          <w:p>
            <w:pPr>
              <w:spacing w:line="300" w:lineRule="exact"/>
              <w:jc w:val="center"/>
              <w:rPr>
                <w:bCs/>
                <w:szCs w:val="21"/>
              </w:rPr>
            </w:pPr>
          </w:p>
        </w:tc>
        <w:tc>
          <w:tcPr>
            <w:tcW w:w="882" w:type="dxa"/>
            <w:vAlign w:val="center"/>
          </w:tcPr>
          <w:p>
            <w:pPr>
              <w:spacing w:line="300" w:lineRule="exact"/>
              <w:jc w:val="center"/>
              <w:rPr>
                <w:bCs/>
                <w:szCs w:val="21"/>
              </w:rPr>
            </w:pPr>
          </w:p>
        </w:tc>
        <w:tc>
          <w:tcPr>
            <w:tcW w:w="212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szCs w:val="21"/>
              </w:rPr>
              <w:t>5.4.2</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危险性实验室配备了急救药箱，药箱不上锁、药品在保质期内</w:t>
            </w:r>
          </w:p>
        </w:tc>
        <w:tc>
          <w:tcPr>
            <w:tcW w:w="3260" w:type="dxa"/>
            <w:shd w:val="clear" w:color="auto" w:fill="auto"/>
            <w:tcMar>
              <w:left w:w="45" w:type="dxa"/>
              <w:right w:w="45" w:type="dxa"/>
            </w:tcMar>
            <w:vAlign w:val="center"/>
          </w:tcPr>
          <w:p>
            <w:pPr>
              <w:spacing w:line="300" w:lineRule="exact"/>
              <w:jc w:val="left"/>
              <w:rPr>
                <w:bCs/>
                <w:szCs w:val="21"/>
              </w:rPr>
            </w:pPr>
            <w:r>
              <w:rPr>
                <w:bCs/>
                <w:szCs w:val="21"/>
              </w:rPr>
              <w:t>不同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599" w:type="dxa"/>
            <w:tcMar>
              <w:left w:w="45" w:type="dxa"/>
              <w:right w:w="45" w:type="dxa"/>
            </w:tcMar>
            <w:vAlign w:val="center"/>
          </w:tcPr>
          <w:p>
            <w:pPr>
              <w:spacing w:line="300" w:lineRule="exact"/>
              <w:jc w:val="center"/>
              <w:rPr>
                <w:bCs/>
                <w:szCs w:val="21"/>
              </w:rPr>
            </w:pPr>
          </w:p>
        </w:tc>
        <w:tc>
          <w:tcPr>
            <w:tcW w:w="853" w:type="dxa"/>
            <w:vAlign w:val="center"/>
          </w:tcPr>
          <w:p>
            <w:pPr>
              <w:spacing w:line="300" w:lineRule="exact"/>
              <w:jc w:val="center"/>
              <w:rPr>
                <w:bCs/>
                <w:szCs w:val="21"/>
              </w:rPr>
            </w:pPr>
          </w:p>
        </w:tc>
        <w:tc>
          <w:tcPr>
            <w:tcW w:w="882" w:type="dxa"/>
            <w:vAlign w:val="center"/>
          </w:tcPr>
          <w:p>
            <w:pPr>
              <w:spacing w:line="300" w:lineRule="exact"/>
              <w:jc w:val="center"/>
              <w:rPr>
                <w:bCs/>
                <w:szCs w:val="21"/>
              </w:rPr>
            </w:pPr>
          </w:p>
        </w:tc>
        <w:tc>
          <w:tcPr>
            <w:tcW w:w="212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szCs w:val="21"/>
              </w:rPr>
              <w:t>5.4.3</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实验室内不放无关物品，如电动车、自行车等</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599" w:type="dxa"/>
            <w:tcMar>
              <w:left w:w="45" w:type="dxa"/>
              <w:right w:w="45" w:type="dxa"/>
            </w:tcMar>
            <w:vAlign w:val="center"/>
          </w:tcPr>
          <w:p>
            <w:pPr>
              <w:spacing w:line="300" w:lineRule="exact"/>
              <w:jc w:val="center"/>
              <w:rPr>
                <w:bCs/>
                <w:szCs w:val="21"/>
              </w:rPr>
            </w:pPr>
          </w:p>
        </w:tc>
        <w:tc>
          <w:tcPr>
            <w:tcW w:w="853" w:type="dxa"/>
            <w:vAlign w:val="center"/>
          </w:tcPr>
          <w:p>
            <w:pPr>
              <w:spacing w:line="300" w:lineRule="exact"/>
              <w:jc w:val="center"/>
              <w:rPr>
                <w:bCs/>
                <w:szCs w:val="21"/>
              </w:rPr>
            </w:pPr>
          </w:p>
        </w:tc>
        <w:tc>
          <w:tcPr>
            <w:tcW w:w="882" w:type="dxa"/>
            <w:vAlign w:val="center"/>
          </w:tcPr>
          <w:p>
            <w:pPr>
              <w:spacing w:line="300" w:lineRule="exact"/>
              <w:jc w:val="center"/>
              <w:rPr>
                <w:bCs/>
                <w:szCs w:val="21"/>
              </w:rPr>
            </w:pPr>
          </w:p>
        </w:tc>
        <w:tc>
          <w:tcPr>
            <w:tcW w:w="212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szCs w:val="21"/>
              </w:rPr>
              <w:t>5.4.4</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实验室内不存放或烧煮食物、饮食，无吸烟现象</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599" w:type="dxa"/>
            <w:tcMar>
              <w:left w:w="45" w:type="dxa"/>
              <w:right w:w="45" w:type="dxa"/>
            </w:tcMar>
            <w:vAlign w:val="center"/>
          </w:tcPr>
          <w:p>
            <w:pPr>
              <w:spacing w:line="300" w:lineRule="exact"/>
              <w:jc w:val="center"/>
              <w:rPr>
                <w:bCs/>
                <w:szCs w:val="21"/>
              </w:rPr>
            </w:pPr>
          </w:p>
        </w:tc>
        <w:tc>
          <w:tcPr>
            <w:tcW w:w="853" w:type="dxa"/>
            <w:vAlign w:val="center"/>
          </w:tcPr>
          <w:p>
            <w:pPr>
              <w:spacing w:line="300" w:lineRule="exact"/>
              <w:jc w:val="center"/>
              <w:rPr>
                <w:bCs/>
                <w:szCs w:val="21"/>
              </w:rPr>
            </w:pPr>
          </w:p>
        </w:tc>
        <w:tc>
          <w:tcPr>
            <w:tcW w:w="882" w:type="dxa"/>
            <w:vAlign w:val="center"/>
          </w:tcPr>
          <w:p>
            <w:pPr>
              <w:spacing w:line="300" w:lineRule="exact"/>
              <w:jc w:val="center"/>
              <w:rPr>
                <w:bCs/>
                <w:szCs w:val="21"/>
              </w:rPr>
            </w:pPr>
          </w:p>
        </w:tc>
        <w:tc>
          <w:tcPr>
            <w:tcW w:w="212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szCs w:val="21"/>
              </w:rPr>
              <w:t>5.4.5</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不得在实验室内睡觉过夜</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有无</w:t>
            </w:r>
            <w:r>
              <w:rPr>
                <w:bCs/>
                <w:szCs w:val="21"/>
              </w:rPr>
              <w:t>席子、被褥等</w:t>
            </w:r>
          </w:p>
        </w:tc>
        <w:tc>
          <w:tcPr>
            <w:tcW w:w="599" w:type="dxa"/>
            <w:tcMar>
              <w:left w:w="45" w:type="dxa"/>
              <w:right w:w="45" w:type="dxa"/>
            </w:tcMar>
            <w:vAlign w:val="center"/>
          </w:tcPr>
          <w:p>
            <w:pPr>
              <w:spacing w:line="300" w:lineRule="exact"/>
              <w:jc w:val="center"/>
              <w:rPr>
                <w:bCs/>
                <w:szCs w:val="21"/>
              </w:rPr>
            </w:pPr>
          </w:p>
        </w:tc>
        <w:tc>
          <w:tcPr>
            <w:tcW w:w="853" w:type="dxa"/>
            <w:vAlign w:val="center"/>
          </w:tcPr>
          <w:p>
            <w:pPr>
              <w:spacing w:line="300" w:lineRule="exact"/>
              <w:jc w:val="center"/>
              <w:rPr>
                <w:bCs/>
                <w:szCs w:val="21"/>
              </w:rPr>
            </w:pPr>
          </w:p>
        </w:tc>
        <w:tc>
          <w:tcPr>
            <w:tcW w:w="882" w:type="dxa"/>
            <w:vAlign w:val="center"/>
          </w:tcPr>
          <w:p>
            <w:pPr>
              <w:spacing w:line="300" w:lineRule="exact"/>
              <w:jc w:val="center"/>
              <w:rPr>
                <w:bCs/>
                <w:szCs w:val="21"/>
              </w:rPr>
            </w:pPr>
          </w:p>
        </w:tc>
        <w:tc>
          <w:tcPr>
            <w:tcW w:w="212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szCs w:val="21"/>
              </w:rPr>
              <w:t>5.4.6</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599" w:type="dxa"/>
            <w:tcMar>
              <w:left w:w="45" w:type="dxa"/>
              <w:right w:w="45" w:type="dxa"/>
            </w:tcMar>
            <w:vAlign w:val="center"/>
          </w:tcPr>
          <w:p>
            <w:pPr>
              <w:spacing w:line="300" w:lineRule="exact"/>
              <w:jc w:val="center"/>
              <w:rPr>
                <w:bCs/>
                <w:szCs w:val="21"/>
              </w:rPr>
            </w:pPr>
          </w:p>
        </w:tc>
        <w:tc>
          <w:tcPr>
            <w:tcW w:w="853" w:type="dxa"/>
            <w:vAlign w:val="center"/>
          </w:tcPr>
          <w:p>
            <w:pPr>
              <w:spacing w:line="300" w:lineRule="exact"/>
              <w:jc w:val="center"/>
              <w:rPr>
                <w:bCs/>
                <w:szCs w:val="21"/>
              </w:rPr>
            </w:pPr>
          </w:p>
        </w:tc>
        <w:tc>
          <w:tcPr>
            <w:tcW w:w="882" w:type="dxa"/>
            <w:vAlign w:val="center"/>
          </w:tcPr>
          <w:p>
            <w:pPr>
              <w:spacing w:line="300" w:lineRule="exact"/>
              <w:jc w:val="center"/>
              <w:rPr>
                <w:bCs/>
                <w:szCs w:val="21"/>
              </w:rPr>
            </w:pPr>
          </w:p>
        </w:tc>
        <w:tc>
          <w:tcPr>
            <w:tcW w:w="212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szCs w:val="21"/>
              </w:rPr>
              <w:t>5.4.7</w:t>
            </w:r>
          </w:p>
        </w:tc>
        <w:tc>
          <w:tcPr>
            <w:tcW w:w="5810" w:type="dxa"/>
            <w:shd w:val="clear" w:color="auto" w:fill="auto"/>
            <w:tcMar>
              <w:left w:w="45" w:type="dxa"/>
              <w:right w:w="45" w:type="dxa"/>
            </w:tcMar>
            <w:vAlign w:val="center"/>
          </w:tcPr>
          <w:p>
            <w:pPr>
              <w:spacing w:line="300" w:lineRule="exact"/>
              <w:rPr>
                <w:szCs w:val="21"/>
              </w:rPr>
            </w:pPr>
            <w:r>
              <w:rPr>
                <w:rFonts w:hint="eastAsia"/>
                <w:szCs w:val="21"/>
              </w:rPr>
              <w:t>废弃</w:t>
            </w:r>
            <w:r>
              <w:rPr>
                <w:szCs w:val="21"/>
              </w:rPr>
              <w:t>不用的实验室，需</w:t>
            </w:r>
            <w:r>
              <w:rPr>
                <w:rFonts w:hint="eastAsia"/>
                <w:szCs w:val="21"/>
              </w:rPr>
              <w:t>明确</w:t>
            </w:r>
            <w:r>
              <w:rPr>
                <w:szCs w:val="21"/>
              </w:rPr>
              <w:t>责任</w:t>
            </w:r>
            <w:r>
              <w:rPr>
                <w:rFonts w:hint="eastAsia"/>
                <w:szCs w:val="21"/>
              </w:rPr>
              <w:t>落实</w:t>
            </w:r>
            <w:r>
              <w:rPr>
                <w:szCs w:val="21"/>
              </w:rPr>
              <w:t>安全防范措施</w:t>
            </w:r>
            <w:r>
              <w:rPr>
                <w:rFonts w:hint="eastAsia"/>
                <w:szCs w:val="21"/>
              </w:rPr>
              <w:t>；具有</w:t>
            </w:r>
            <w:r>
              <w:rPr>
                <w:szCs w:val="21"/>
              </w:rPr>
              <w:t>危险隐患的实验室及设备在拆除前必须做好安全论证</w:t>
            </w:r>
            <w:r>
              <w:rPr>
                <w:rFonts w:hint="eastAsia"/>
                <w:szCs w:val="21"/>
              </w:rPr>
              <w:t>，</w:t>
            </w:r>
            <w:r>
              <w:rPr>
                <w:szCs w:val="21"/>
              </w:rPr>
              <w:t>并认真实施</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查看现场</w:t>
            </w:r>
            <w:r>
              <w:rPr>
                <w:bCs/>
                <w:szCs w:val="21"/>
              </w:rPr>
              <w:t>与资料</w:t>
            </w:r>
          </w:p>
        </w:tc>
        <w:tc>
          <w:tcPr>
            <w:tcW w:w="599" w:type="dxa"/>
            <w:tcMar>
              <w:left w:w="45" w:type="dxa"/>
              <w:right w:w="45" w:type="dxa"/>
            </w:tcMar>
            <w:vAlign w:val="center"/>
          </w:tcPr>
          <w:p>
            <w:pPr>
              <w:spacing w:line="300" w:lineRule="exact"/>
              <w:jc w:val="center"/>
              <w:rPr>
                <w:bCs/>
                <w:szCs w:val="21"/>
              </w:rPr>
            </w:pPr>
          </w:p>
        </w:tc>
        <w:tc>
          <w:tcPr>
            <w:tcW w:w="853" w:type="dxa"/>
            <w:vAlign w:val="center"/>
          </w:tcPr>
          <w:p>
            <w:pPr>
              <w:spacing w:line="300" w:lineRule="exact"/>
              <w:jc w:val="center"/>
              <w:rPr>
                <w:bCs/>
                <w:szCs w:val="21"/>
              </w:rPr>
            </w:pPr>
          </w:p>
        </w:tc>
        <w:tc>
          <w:tcPr>
            <w:tcW w:w="882" w:type="dxa"/>
            <w:vAlign w:val="center"/>
          </w:tcPr>
          <w:p>
            <w:pPr>
              <w:spacing w:line="300" w:lineRule="exact"/>
              <w:jc w:val="center"/>
              <w:rPr>
                <w:bCs/>
                <w:szCs w:val="21"/>
              </w:rPr>
            </w:pPr>
          </w:p>
        </w:tc>
        <w:tc>
          <w:tcPr>
            <w:tcW w:w="212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6</w:t>
            </w:r>
          </w:p>
        </w:tc>
        <w:tc>
          <w:tcPr>
            <w:tcW w:w="13524"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6.1</w:t>
            </w:r>
          </w:p>
        </w:tc>
        <w:tc>
          <w:tcPr>
            <w:tcW w:w="13524"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6.1.1</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具有潜在火灾危险的实验室内应配备合适的灭火设备（烟感</w:t>
            </w:r>
            <w:r>
              <w:rPr>
                <w:rFonts w:asciiTheme="minorEastAsia" w:hAnsiTheme="minorEastAsia" w:eastAsiaTheme="minorEastAsia"/>
                <w:kern w:val="0"/>
                <w:szCs w:val="21"/>
              </w:rPr>
              <w:t>报警器、</w:t>
            </w:r>
            <w:r>
              <w:rPr>
                <w:rFonts w:hint="eastAsia" w:asciiTheme="minorEastAsia" w:hAnsiTheme="minorEastAsia" w:eastAsiaTheme="minorEastAsia"/>
                <w:kern w:val="0"/>
                <w:szCs w:val="21"/>
              </w:rPr>
              <w:t>灭火器、 灭火毯、消防沙桶、消防喷淋等），正常有效、</w:t>
            </w:r>
            <w:r>
              <w:rPr>
                <w:rFonts w:asciiTheme="minorEastAsia" w:hAnsiTheme="minorEastAsia" w:eastAsiaTheme="minorEastAsia"/>
                <w:kern w:val="0"/>
                <w:szCs w:val="21"/>
              </w:rPr>
              <w:t>方便取用</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kern w:val="0"/>
                <w:szCs w:val="21"/>
              </w:rPr>
              <w:t>灭火器种类适合；</w:t>
            </w:r>
            <w:r>
              <w:rPr>
                <w:rFonts w:asciiTheme="minorEastAsia" w:hAnsiTheme="minorEastAsia" w:eastAsiaTheme="minorEastAsia"/>
                <w:bCs/>
                <w:kern w:val="0"/>
                <w:szCs w:val="21"/>
              </w:rPr>
              <w:t>公共</w:t>
            </w:r>
            <w:r>
              <w:rPr>
                <w:rFonts w:hint="eastAsia" w:asciiTheme="minorEastAsia" w:hAnsiTheme="minorEastAsia" w:eastAsiaTheme="minorEastAsia"/>
                <w:bCs/>
                <w:kern w:val="0"/>
                <w:szCs w:val="21"/>
              </w:rPr>
              <w:t>区域</w:t>
            </w:r>
            <w:r>
              <w:rPr>
                <w:rFonts w:asciiTheme="minorEastAsia" w:hAnsiTheme="minorEastAsia" w:eastAsiaTheme="minorEastAsia"/>
                <w:bCs/>
                <w:kern w:val="0"/>
                <w:szCs w:val="21"/>
              </w:rPr>
              <w:t>灭火器数量</w:t>
            </w:r>
            <w:r>
              <w:rPr>
                <w:rFonts w:hint="eastAsia" w:asciiTheme="minorEastAsia" w:hAnsiTheme="minorEastAsia" w:eastAsiaTheme="minorEastAsia"/>
                <w:bCs/>
                <w:kern w:val="0"/>
                <w:szCs w:val="21"/>
              </w:rPr>
              <w:t>（间距）</w:t>
            </w:r>
            <w:r>
              <w:rPr>
                <w:rFonts w:asciiTheme="minorEastAsia" w:hAnsiTheme="minorEastAsia" w:eastAsiaTheme="minorEastAsia"/>
                <w:bCs/>
                <w:kern w:val="0"/>
                <w:szCs w:val="21"/>
              </w:rPr>
              <w:t>与</w:t>
            </w:r>
            <w:r>
              <w:rPr>
                <w:rFonts w:hint="eastAsia" w:asciiTheme="minorEastAsia" w:hAnsiTheme="minorEastAsia" w:eastAsiaTheme="minorEastAsia"/>
                <w:bCs/>
                <w:kern w:val="0"/>
                <w:szCs w:val="21"/>
              </w:rPr>
              <w:t>实验室</w:t>
            </w:r>
            <w:r>
              <w:rPr>
                <w:rFonts w:asciiTheme="minorEastAsia" w:hAnsiTheme="minorEastAsia" w:eastAsiaTheme="minorEastAsia"/>
                <w:bCs/>
                <w:kern w:val="0"/>
                <w:szCs w:val="21"/>
              </w:rPr>
              <w:t>安全等级</w:t>
            </w:r>
            <w:r>
              <w:rPr>
                <w:rFonts w:hint="eastAsia" w:asciiTheme="minorEastAsia" w:hAnsiTheme="minorEastAsia" w:eastAsiaTheme="minorEastAsia"/>
                <w:bCs/>
                <w:kern w:val="0"/>
                <w:szCs w:val="21"/>
              </w:rPr>
              <w:t>相</w:t>
            </w:r>
            <w:r>
              <w:rPr>
                <w:rFonts w:asciiTheme="minorEastAsia" w:hAnsiTheme="minorEastAsia" w:eastAsiaTheme="minorEastAsia"/>
                <w:bCs/>
                <w:kern w:val="0"/>
                <w:szCs w:val="21"/>
              </w:rPr>
              <w:t>适应</w:t>
            </w:r>
          </w:p>
        </w:tc>
        <w:tc>
          <w:tcPr>
            <w:tcW w:w="599"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853" w:type="dxa"/>
            <w:vAlign w:val="center"/>
          </w:tcPr>
          <w:p>
            <w:pPr>
              <w:widowControl/>
              <w:spacing w:line="300" w:lineRule="exact"/>
              <w:jc w:val="center"/>
              <w:rPr>
                <w:rFonts w:asciiTheme="minorEastAsia" w:hAnsiTheme="minorEastAsia" w:eastAsiaTheme="minorEastAsia"/>
                <w:bCs/>
                <w:kern w:val="0"/>
                <w:szCs w:val="21"/>
              </w:rPr>
            </w:pPr>
          </w:p>
        </w:tc>
        <w:tc>
          <w:tcPr>
            <w:tcW w:w="882" w:type="dxa"/>
            <w:vAlign w:val="center"/>
          </w:tcPr>
          <w:p>
            <w:pPr>
              <w:widowControl/>
              <w:spacing w:line="300" w:lineRule="exact"/>
              <w:jc w:val="center"/>
              <w:rPr>
                <w:rFonts w:asciiTheme="minorEastAsia" w:hAnsiTheme="minorEastAsia" w:eastAsiaTheme="minorEastAsia"/>
                <w:bCs/>
                <w:kern w:val="0"/>
                <w:szCs w:val="21"/>
              </w:rPr>
            </w:pPr>
          </w:p>
        </w:tc>
        <w:tc>
          <w:tcPr>
            <w:tcW w:w="212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6.1.2</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灭火器在有效期内（压力指针</w:t>
            </w:r>
            <w:r>
              <w:rPr>
                <w:rFonts w:asciiTheme="minorEastAsia" w:hAnsiTheme="minorEastAsia" w:eastAsiaTheme="minorEastAsia"/>
                <w:kern w:val="0"/>
                <w:szCs w:val="21"/>
              </w:rPr>
              <w:t>位置</w:t>
            </w:r>
            <w:r>
              <w:rPr>
                <w:rFonts w:hint="eastAsia" w:asciiTheme="minorEastAsia" w:hAnsiTheme="minorEastAsia" w:eastAsiaTheme="minorEastAsia"/>
                <w:kern w:val="0"/>
                <w:szCs w:val="21"/>
              </w:rPr>
              <w:t>正常等），安全销（拉针）正常，瓶身无破损、腐蚀</w:t>
            </w:r>
          </w:p>
        </w:tc>
        <w:tc>
          <w:tcPr>
            <w:tcW w:w="3260" w:type="dxa"/>
            <w:shd w:val="clear" w:color="auto" w:fill="auto"/>
            <w:tcMar>
              <w:left w:w="45" w:type="dxa"/>
              <w:right w:w="45" w:type="dxa"/>
            </w:tcMar>
            <w:vAlign w:val="center"/>
          </w:tcPr>
          <w:p>
            <w:pPr>
              <w:spacing w:line="300" w:lineRule="exac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599"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853" w:type="dxa"/>
            <w:vAlign w:val="center"/>
          </w:tcPr>
          <w:p>
            <w:pPr>
              <w:widowControl/>
              <w:spacing w:line="300" w:lineRule="exact"/>
              <w:jc w:val="center"/>
              <w:rPr>
                <w:rFonts w:asciiTheme="minorEastAsia" w:hAnsiTheme="minorEastAsia" w:eastAsiaTheme="minorEastAsia"/>
                <w:bCs/>
                <w:kern w:val="0"/>
                <w:szCs w:val="21"/>
              </w:rPr>
            </w:pPr>
          </w:p>
        </w:tc>
        <w:tc>
          <w:tcPr>
            <w:tcW w:w="882" w:type="dxa"/>
            <w:vAlign w:val="center"/>
          </w:tcPr>
          <w:p>
            <w:pPr>
              <w:widowControl/>
              <w:spacing w:line="300" w:lineRule="exact"/>
              <w:jc w:val="center"/>
              <w:rPr>
                <w:rFonts w:asciiTheme="minorEastAsia" w:hAnsiTheme="minorEastAsia" w:eastAsiaTheme="minorEastAsia"/>
                <w:bCs/>
                <w:kern w:val="0"/>
                <w:szCs w:val="21"/>
              </w:rPr>
            </w:pPr>
          </w:p>
        </w:tc>
        <w:tc>
          <w:tcPr>
            <w:tcW w:w="212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6.1.3</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599"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853" w:type="dxa"/>
            <w:vAlign w:val="center"/>
          </w:tcPr>
          <w:p>
            <w:pPr>
              <w:widowControl/>
              <w:spacing w:line="300" w:lineRule="exact"/>
              <w:jc w:val="center"/>
              <w:rPr>
                <w:rFonts w:asciiTheme="minorEastAsia" w:hAnsiTheme="minorEastAsia" w:eastAsiaTheme="minorEastAsia"/>
                <w:bCs/>
                <w:kern w:val="0"/>
                <w:szCs w:val="21"/>
              </w:rPr>
            </w:pPr>
          </w:p>
        </w:tc>
        <w:tc>
          <w:tcPr>
            <w:tcW w:w="882" w:type="dxa"/>
            <w:vAlign w:val="center"/>
          </w:tcPr>
          <w:p>
            <w:pPr>
              <w:widowControl/>
              <w:spacing w:line="300" w:lineRule="exact"/>
              <w:jc w:val="center"/>
              <w:rPr>
                <w:rFonts w:asciiTheme="minorEastAsia" w:hAnsiTheme="minorEastAsia" w:eastAsiaTheme="minorEastAsia"/>
                <w:bCs/>
                <w:kern w:val="0"/>
                <w:szCs w:val="21"/>
              </w:rPr>
            </w:pPr>
          </w:p>
        </w:tc>
        <w:tc>
          <w:tcPr>
            <w:tcW w:w="212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6.1.4</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599"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853" w:type="dxa"/>
            <w:vAlign w:val="center"/>
          </w:tcPr>
          <w:p>
            <w:pPr>
              <w:widowControl/>
              <w:spacing w:line="300" w:lineRule="exact"/>
              <w:jc w:val="center"/>
              <w:rPr>
                <w:rFonts w:asciiTheme="minorEastAsia" w:hAnsiTheme="minorEastAsia" w:eastAsiaTheme="minorEastAsia"/>
                <w:bCs/>
                <w:kern w:val="0"/>
                <w:szCs w:val="21"/>
              </w:rPr>
            </w:pPr>
          </w:p>
        </w:tc>
        <w:tc>
          <w:tcPr>
            <w:tcW w:w="882" w:type="dxa"/>
            <w:vAlign w:val="center"/>
          </w:tcPr>
          <w:p>
            <w:pPr>
              <w:widowControl/>
              <w:spacing w:line="300" w:lineRule="exact"/>
              <w:jc w:val="center"/>
              <w:rPr>
                <w:rFonts w:asciiTheme="minorEastAsia" w:hAnsiTheme="minorEastAsia" w:eastAsiaTheme="minorEastAsia"/>
                <w:bCs/>
                <w:kern w:val="0"/>
                <w:szCs w:val="21"/>
              </w:rPr>
            </w:pPr>
          </w:p>
        </w:tc>
        <w:tc>
          <w:tcPr>
            <w:tcW w:w="212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6.1.5</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定期</w:t>
            </w:r>
            <w:r>
              <w:rPr>
                <w:rFonts w:asciiTheme="minorEastAsia" w:hAnsiTheme="minorEastAsia" w:eastAsiaTheme="minorEastAsia"/>
                <w:kern w:val="0"/>
                <w:szCs w:val="21"/>
              </w:rPr>
              <w:t>开展</w:t>
            </w:r>
            <w:r>
              <w:rPr>
                <w:rFonts w:hint="eastAsia" w:asciiTheme="minorEastAsia" w:hAnsiTheme="minorEastAsia" w:eastAsiaTheme="minor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查看记录、现场提问</w:t>
            </w:r>
          </w:p>
        </w:tc>
        <w:tc>
          <w:tcPr>
            <w:tcW w:w="599"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853" w:type="dxa"/>
            <w:vAlign w:val="center"/>
          </w:tcPr>
          <w:p>
            <w:pPr>
              <w:widowControl/>
              <w:spacing w:line="300" w:lineRule="exact"/>
              <w:jc w:val="center"/>
              <w:rPr>
                <w:rFonts w:asciiTheme="minorEastAsia" w:hAnsiTheme="minorEastAsia" w:eastAsiaTheme="minorEastAsia"/>
                <w:bCs/>
                <w:kern w:val="0"/>
                <w:szCs w:val="21"/>
              </w:rPr>
            </w:pPr>
          </w:p>
        </w:tc>
        <w:tc>
          <w:tcPr>
            <w:tcW w:w="882" w:type="dxa"/>
            <w:vAlign w:val="center"/>
          </w:tcPr>
          <w:p>
            <w:pPr>
              <w:widowControl/>
              <w:spacing w:line="300" w:lineRule="exact"/>
              <w:jc w:val="center"/>
              <w:rPr>
                <w:rFonts w:asciiTheme="minorEastAsia" w:hAnsiTheme="minorEastAsia" w:eastAsiaTheme="minorEastAsia"/>
                <w:bCs/>
                <w:kern w:val="0"/>
                <w:szCs w:val="21"/>
              </w:rPr>
            </w:pPr>
          </w:p>
        </w:tc>
        <w:tc>
          <w:tcPr>
            <w:tcW w:w="212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6.2</w:t>
            </w:r>
          </w:p>
        </w:tc>
        <w:tc>
          <w:tcPr>
            <w:tcW w:w="13524"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应急喷淋</w:t>
            </w:r>
            <w:r>
              <w:rPr>
                <w:rFonts w:hint="eastAsia" w:asciiTheme="minorEastAsia" w:hAnsiTheme="minorEastAsia" w:eastAsiaTheme="minorEastAsia"/>
                <w:b/>
                <w:kern w:val="0"/>
                <w:szCs w:val="21"/>
              </w:rPr>
              <w:t>与</w:t>
            </w:r>
            <w:r>
              <w:rPr>
                <w:rFonts w:asciiTheme="minorEastAsia" w:hAnsiTheme="minorEastAsia" w:eastAsiaTheme="minorEastAsia"/>
                <w:b/>
                <w:kern w:val="0"/>
                <w:szCs w:val="21"/>
              </w:rPr>
              <w:t>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6.2.1</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存在可能受到化学和生物伤害的实验区域，需配置应急喷淋和洗眼装置，走廊有显著引导标识</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599"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853" w:type="dxa"/>
            <w:vAlign w:val="center"/>
          </w:tcPr>
          <w:p>
            <w:pPr>
              <w:widowControl/>
              <w:spacing w:line="300" w:lineRule="exact"/>
              <w:jc w:val="center"/>
              <w:rPr>
                <w:rFonts w:asciiTheme="minorEastAsia" w:hAnsiTheme="minorEastAsia" w:eastAsiaTheme="minorEastAsia"/>
                <w:bCs/>
                <w:kern w:val="0"/>
                <w:szCs w:val="21"/>
              </w:rPr>
            </w:pPr>
          </w:p>
        </w:tc>
        <w:tc>
          <w:tcPr>
            <w:tcW w:w="882" w:type="dxa"/>
            <w:vAlign w:val="center"/>
          </w:tcPr>
          <w:p>
            <w:pPr>
              <w:widowControl/>
              <w:spacing w:line="300" w:lineRule="exact"/>
              <w:jc w:val="center"/>
              <w:rPr>
                <w:rFonts w:asciiTheme="minorEastAsia" w:hAnsiTheme="minorEastAsia" w:eastAsiaTheme="minorEastAsia"/>
                <w:bCs/>
                <w:kern w:val="0"/>
                <w:szCs w:val="21"/>
              </w:rPr>
            </w:pPr>
          </w:p>
        </w:tc>
        <w:tc>
          <w:tcPr>
            <w:tcW w:w="212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6.2.2</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应急喷淋安装地点与工作区域之间畅通，距离不超过30米；应急喷淋安装位置合适，拉杆位置</w:t>
            </w:r>
            <w:r>
              <w:rPr>
                <w:rFonts w:asciiTheme="minorEastAsia" w:hAnsiTheme="minorEastAsia" w:eastAsiaTheme="minorEastAsia"/>
                <w:kern w:val="0"/>
                <w:szCs w:val="21"/>
              </w:rPr>
              <w:t>合适、</w:t>
            </w:r>
            <w:r>
              <w:rPr>
                <w:rFonts w:hint="eastAsia" w:asciiTheme="minorEastAsia" w:hAnsiTheme="minorEastAsia" w:eastAsiaTheme="minorEastAsia"/>
                <w:kern w:val="0"/>
                <w:szCs w:val="21"/>
              </w:rPr>
              <w:t>方向</w:t>
            </w:r>
            <w:r>
              <w:rPr>
                <w:rFonts w:asciiTheme="minorEastAsia" w:hAnsiTheme="minorEastAsia" w:eastAsiaTheme="minorEastAsia"/>
                <w:kern w:val="0"/>
                <w:szCs w:val="21"/>
              </w:rPr>
              <w:t>正确</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asciiTheme="minorEastAsia" w:hAnsiTheme="minorEastAsia" w:eastAsiaTheme="minorEastAsia"/>
                <w:bCs/>
                <w:kern w:val="0"/>
                <w:szCs w:val="21"/>
              </w:rPr>
              <w:t>拉杆往下拉出水；在走廊</w:t>
            </w:r>
            <w:r>
              <w:rPr>
                <w:rFonts w:hint="eastAsia" w:asciiTheme="minorEastAsia" w:hAnsiTheme="minorEastAsia" w:eastAsiaTheme="minorEastAsia"/>
                <w:bCs/>
                <w:kern w:val="0"/>
                <w:szCs w:val="21"/>
              </w:rPr>
              <w:t>安装</w:t>
            </w:r>
            <w:r>
              <w:rPr>
                <w:rFonts w:asciiTheme="minorEastAsia" w:hAnsiTheme="minorEastAsia" w:eastAsiaTheme="minorEastAsia"/>
                <w:bCs/>
                <w:kern w:val="0"/>
                <w:szCs w:val="21"/>
              </w:rPr>
              <w:t>可以没有下水道</w:t>
            </w:r>
          </w:p>
        </w:tc>
        <w:tc>
          <w:tcPr>
            <w:tcW w:w="599"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853" w:type="dxa"/>
            <w:vAlign w:val="center"/>
          </w:tcPr>
          <w:p>
            <w:pPr>
              <w:widowControl/>
              <w:spacing w:line="300" w:lineRule="exact"/>
              <w:jc w:val="center"/>
              <w:rPr>
                <w:rFonts w:asciiTheme="minorEastAsia" w:hAnsiTheme="minorEastAsia" w:eastAsiaTheme="minorEastAsia"/>
                <w:bCs/>
                <w:kern w:val="0"/>
                <w:szCs w:val="21"/>
              </w:rPr>
            </w:pPr>
          </w:p>
        </w:tc>
        <w:tc>
          <w:tcPr>
            <w:tcW w:w="882" w:type="dxa"/>
            <w:vAlign w:val="center"/>
          </w:tcPr>
          <w:p>
            <w:pPr>
              <w:widowControl/>
              <w:spacing w:line="300" w:lineRule="exact"/>
              <w:jc w:val="center"/>
              <w:rPr>
                <w:rFonts w:asciiTheme="minorEastAsia" w:hAnsiTheme="minorEastAsia" w:eastAsiaTheme="minorEastAsia"/>
                <w:bCs/>
                <w:kern w:val="0"/>
                <w:szCs w:val="21"/>
              </w:rPr>
            </w:pPr>
          </w:p>
        </w:tc>
        <w:tc>
          <w:tcPr>
            <w:tcW w:w="212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6.2.3</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asciiTheme="minorEastAsia" w:hAnsiTheme="minorEastAsia" w:eastAsiaTheme="minorEastAsia"/>
                <w:kern w:val="0"/>
                <w:szCs w:val="21"/>
              </w:rPr>
              <w:t>应急喷淋装置水管总阀处常开状，喷</w:t>
            </w:r>
            <w:r>
              <w:rPr>
                <w:rFonts w:hint="eastAsia" w:asciiTheme="minorEastAsia" w:hAnsiTheme="minorEastAsia" w:eastAsiaTheme="minorEastAsia"/>
                <w:kern w:val="0"/>
                <w:szCs w:val="21"/>
              </w:rPr>
              <w:t>淋</w:t>
            </w:r>
            <w:r>
              <w:rPr>
                <w:rFonts w:asciiTheme="minorEastAsia" w:hAnsiTheme="minorEastAsia" w:eastAsiaTheme="minorEastAsia"/>
                <w:kern w:val="0"/>
                <w:szCs w:val="21"/>
              </w:rPr>
              <w:t>头下方无障碍物</w:t>
            </w:r>
            <w:r>
              <w:rPr>
                <w:rFonts w:hint="eastAsia" w:asciiTheme="minorEastAsia" w:hAnsiTheme="minorEastAsia" w:eastAsiaTheme="minorEastAsia"/>
                <w:kern w:val="0"/>
                <w:szCs w:val="21"/>
              </w:rPr>
              <w:t>；</w:t>
            </w:r>
            <w:r>
              <w:rPr>
                <w:rFonts w:asciiTheme="minorEastAsia" w:hAnsiTheme="minorEastAsia" w:eastAsiaTheme="minorEastAsia"/>
                <w:kern w:val="0"/>
                <w:szCs w:val="21"/>
              </w:rPr>
              <w:t>不能以普通淋浴装置代替应急喷淋装置</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599"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853" w:type="dxa"/>
            <w:vAlign w:val="center"/>
          </w:tcPr>
          <w:p>
            <w:pPr>
              <w:widowControl/>
              <w:spacing w:line="300" w:lineRule="exact"/>
              <w:jc w:val="center"/>
              <w:rPr>
                <w:rFonts w:asciiTheme="minorEastAsia" w:hAnsiTheme="minorEastAsia" w:eastAsiaTheme="minorEastAsia"/>
                <w:bCs/>
                <w:kern w:val="0"/>
                <w:szCs w:val="21"/>
              </w:rPr>
            </w:pPr>
          </w:p>
        </w:tc>
        <w:tc>
          <w:tcPr>
            <w:tcW w:w="882" w:type="dxa"/>
            <w:vAlign w:val="center"/>
          </w:tcPr>
          <w:p>
            <w:pPr>
              <w:widowControl/>
              <w:spacing w:line="300" w:lineRule="exact"/>
              <w:jc w:val="center"/>
              <w:rPr>
                <w:rFonts w:asciiTheme="minorEastAsia" w:hAnsiTheme="minorEastAsia" w:eastAsiaTheme="minorEastAsia"/>
                <w:bCs/>
                <w:kern w:val="0"/>
                <w:szCs w:val="21"/>
              </w:rPr>
            </w:pPr>
          </w:p>
        </w:tc>
        <w:tc>
          <w:tcPr>
            <w:tcW w:w="212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6.2.4</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洗眼装置接入生活用水管道，水量水压适中（喷出高度</w:t>
            </w:r>
            <w:r>
              <w:rPr>
                <w:rFonts w:asciiTheme="minorEastAsia" w:hAnsiTheme="minorEastAsia" w:eastAsiaTheme="minorEastAsia"/>
                <w:kern w:val="0"/>
                <w:szCs w:val="21"/>
              </w:rPr>
              <w:t>8</w:t>
            </w:r>
            <w:r>
              <w:rPr>
                <w:rFonts w:hint="eastAsia" w:asciiTheme="minorEastAsia" w:hAnsiTheme="minorEastAsia" w:eastAsiaTheme="minorEastAsia"/>
                <w:kern w:val="0"/>
                <w:szCs w:val="21"/>
              </w:rPr>
              <w:t>-10cm），</w:t>
            </w:r>
            <w:r>
              <w:rPr>
                <w:rFonts w:hint="eastAsia" w:asciiTheme="minorEastAsia" w:hAnsiTheme="minorEastAsia" w:eastAsiaTheme="minorEastAsia"/>
                <w:bCs/>
                <w:kern w:val="0"/>
                <w:szCs w:val="21"/>
              </w:rPr>
              <w:t>水流畅通平稳</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不得接消防用水</w:t>
            </w:r>
          </w:p>
        </w:tc>
        <w:tc>
          <w:tcPr>
            <w:tcW w:w="599"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853" w:type="dxa"/>
            <w:vAlign w:val="center"/>
          </w:tcPr>
          <w:p>
            <w:pPr>
              <w:widowControl/>
              <w:spacing w:line="300" w:lineRule="exact"/>
              <w:jc w:val="center"/>
              <w:rPr>
                <w:rFonts w:asciiTheme="minorEastAsia" w:hAnsiTheme="minorEastAsia" w:eastAsiaTheme="minorEastAsia"/>
                <w:bCs/>
                <w:kern w:val="0"/>
                <w:szCs w:val="21"/>
              </w:rPr>
            </w:pPr>
          </w:p>
        </w:tc>
        <w:tc>
          <w:tcPr>
            <w:tcW w:w="882" w:type="dxa"/>
            <w:vAlign w:val="center"/>
          </w:tcPr>
          <w:p>
            <w:pPr>
              <w:widowControl/>
              <w:spacing w:line="300" w:lineRule="exact"/>
              <w:jc w:val="center"/>
              <w:rPr>
                <w:rFonts w:asciiTheme="minorEastAsia" w:hAnsiTheme="minorEastAsia" w:eastAsiaTheme="minorEastAsia"/>
                <w:bCs/>
                <w:kern w:val="0"/>
                <w:szCs w:val="21"/>
              </w:rPr>
            </w:pPr>
          </w:p>
        </w:tc>
        <w:tc>
          <w:tcPr>
            <w:tcW w:w="212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6.2.5</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定期维护应急喷淋与</w:t>
            </w:r>
            <w:r>
              <w:rPr>
                <w:rFonts w:asciiTheme="minorEastAsia" w:hAnsiTheme="minorEastAsia" w:eastAsiaTheme="minorEastAsia"/>
                <w:kern w:val="0"/>
                <w:szCs w:val="21"/>
              </w:rPr>
              <w:t>洗眼</w:t>
            </w:r>
            <w:r>
              <w:rPr>
                <w:rFonts w:hint="eastAsia" w:asciiTheme="minorEastAsia" w:hAnsiTheme="minorEastAsia" w:eastAsiaTheme="minor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查看维护记录、无锈水脏水</w:t>
            </w:r>
          </w:p>
        </w:tc>
        <w:tc>
          <w:tcPr>
            <w:tcW w:w="599"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853" w:type="dxa"/>
            <w:vAlign w:val="center"/>
          </w:tcPr>
          <w:p>
            <w:pPr>
              <w:widowControl/>
              <w:spacing w:line="300" w:lineRule="exact"/>
              <w:jc w:val="center"/>
              <w:rPr>
                <w:rFonts w:asciiTheme="minorEastAsia" w:hAnsiTheme="minorEastAsia" w:eastAsiaTheme="minorEastAsia"/>
                <w:bCs/>
                <w:kern w:val="0"/>
                <w:szCs w:val="21"/>
              </w:rPr>
            </w:pPr>
          </w:p>
        </w:tc>
        <w:tc>
          <w:tcPr>
            <w:tcW w:w="882" w:type="dxa"/>
            <w:vAlign w:val="center"/>
          </w:tcPr>
          <w:p>
            <w:pPr>
              <w:widowControl/>
              <w:spacing w:line="300" w:lineRule="exact"/>
              <w:jc w:val="center"/>
              <w:rPr>
                <w:rFonts w:asciiTheme="minorEastAsia" w:hAnsiTheme="minorEastAsia" w:eastAsiaTheme="minorEastAsia"/>
                <w:bCs/>
                <w:kern w:val="0"/>
                <w:szCs w:val="21"/>
              </w:rPr>
            </w:pPr>
          </w:p>
        </w:tc>
        <w:tc>
          <w:tcPr>
            <w:tcW w:w="212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6.3</w:t>
            </w:r>
          </w:p>
        </w:tc>
        <w:tc>
          <w:tcPr>
            <w:tcW w:w="13524"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6.3.1.</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有需要的实验场所</w:t>
            </w:r>
            <w:r>
              <w:rPr>
                <w:rFonts w:asciiTheme="minorEastAsia" w:hAnsiTheme="minorEastAsia" w:eastAsia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599"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853" w:type="dxa"/>
            <w:vAlign w:val="center"/>
          </w:tcPr>
          <w:p>
            <w:pPr>
              <w:widowControl/>
              <w:spacing w:line="300" w:lineRule="exact"/>
              <w:jc w:val="center"/>
              <w:rPr>
                <w:rFonts w:asciiTheme="minorEastAsia" w:hAnsiTheme="minorEastAsia" w:eastAsiaTheme="minorEastAsia"/>
                <w:bCs/>
                <w:kern w:val="0"/>
                <w:szCs w:val="21"/>
              </w:rPr>
            </w:pPr>
          </w:p>
        </w:tc>
        <w:tc>
          <w:tcPr>
            <w:tcW w:w="882" w:type="dxa"/>
            <w:vAlign w:val="center"/>
          </w:tcPr>
          <w:p>
            <w:pPr>
              <w:widowControl/>
              <w:spacing w:line="300" w:lineRule="exact"/>
              <w:jc w:val="center"/>
              <w:rPr>
                <w:rFonts w:asciiTheme="minorEastAsia" w:hAnsiTheme="minorEastAsia" w:eastAsiaTheme="minorEastAsia"/>
                <w:bCs/>
                <w:kern w:val="0"/>
                <w:szCs w:val="21"/>
              </w:rPr>
            </w:pPr>
          </w:p>
        </w:tc>
        <w:tc>
          <w:tcPr>
            <w:tcW w:w="212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6.3.2</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实验室</w:t>
            </w:r>
            <w:r>
              <w:rPr>
                <w:rFonts w:asciiTheme="minorEastAsia" w:hAnsiTheme="minorEastAsia" w:eastAsiaTheme="minorEastAsia"/>
                <w:kern w:val="0"/>
                <w:szCs w:val="21"/>
              </w:rPr>
              <w:t>通风系统运行</w:t>
            </w:r>
            <w:r>
              <w:rPr>
                <w:rFonts w:hint="eastAsia" w:asciiTheme="minorEastAsia" w:hAnsiTheme="minorEastAsia" w:eastAsiaTheme="minorEastAsia"/>
                <w:kern w:val="0"/>
                <w:szCs w:val="21"/>
              </w:rPr>
              <w:t>正常，</w:t>
            </w:r>
            <w:r>
              <w:rPr>
                <w:rFonts w:hint="eastAsia"/>
                <w:szCs w:val="21"/>
              </w:rPr>
              <w:t>柜口面</w:t>
            </w:r>
            <w:r>
              <w:rPr>
                <w:rFonts w:hint="eastAsia" w:asciiTheme="minorEastAsia" w:hAnsiTheme="minorEastAsia" w:eastAsiaTheme="minorEastAsia"/>
                <w:kern w:val="0"/>
                <w:szCs w:val="21"/>
              </w:rPr>
              <w:t>风速0.</w:t>
            </w:r>
            <w:r>
              <w:rPr>
                <w:rFonts w:asciiTheme="minorEastAsia" w:hAnsiTheme="minorEastAsia" w:eastAsiaTheme="minorEastAsia"/>
                <w:kern w:val="0"/>
                <w:szCs w:val="21"/>
              </w:rPr>
              <w:t>3</w:t>
            </w:r>
            <w:r>
              <w:rPr>
                <w:rFonts w:hint="eastAsia" w:asciiTheme="minorEastAsia" w:hAnsiTheme="minorEastAsia" w:eastAsiaTheme="minorEastAsia"/>
                <w:kern w:val="0"/>
                <w:szCs w:val="21"/>
              </w:rPr>
              <w:t>5-0.</w:t>
            </w:r>
            <w:r>
              <w:rPr>
                <w:rFonts w:asciiTheme="minorEastAsia" w:hAnsiTheme="minorEastAsia" w:eastAsiaTheme="minorEastAsia"/>
                <w:kern w:val="0"/>
                <w:szCs w:val="21"/>
              </w:rPr>
              <w:t>7</w:t>
            </w:r>
            <w:r>
              <w:rPr>
                <w:rFonts w:hint="eastAsia" w:asciiTheme="minorEastAsia" w:hAnsiTheme="minorEastAsia" w:eastAsiaTheme="minorEastAsia"/>
                <w:kern w:val="0"/>
                <w:szCs w:val="21"/>
              </w:rPr>
              <w:t>5 m/s，定期进行维护、检修有</w:t>
            </w:r>
            <w:r>
              <w:rPr>
                <w:rFonts w:asciiTheme="minorEastAsia" w:hAnsiTheme="minorEastAsia" w:eastAsiaTheme="minorEastAsia"/>
                <w:kern w:val="0"/>
                <w:szCs w:val="21"/>
              </w:rPr>
              <w:t>记录</w:t>
            </w:r>
            <w:r>
              <w:rPr>
                <w:rFonts w:hint="eastAsia" w:asciiTheme="minorEastAsia" w:hAnsiTheme="minorEastAsia" w:eastAsiaTheme="minorEastAsia"/>
                <w:kern w:val="0"/>
                <w:szCs w:val="21"/>
              </w:rPr>
              <w:t>；</w:t>
            </w:r>
            <w:r>
              <w:rPr>
                <w:rFonts w:asciiTheme="minorEastAsia" w:hAnsiTheme="minorEastAsia" w:eastAsiaTheme="minorEastAsia"/>
                <w:kern w:val="0"/>
                <w:szCs w:val="21"/>
              </w:rPr>
              <w:t>屋顶风机固定无松动、无异常噪声</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w:t>
            </w:r>
            <w:r>
              <w:rPr>
                <w:rFonts w:asciiTheme="minorEastAsia" w:hAnsiTheme="minorEastAsia" w:eastAsiaTheme="minorEastAsia"/>
                <w:kern w:val="0"/>
                <w:szCs w:val="21"/>
              </w:rPr>
              <w:t>风速测定</w:t>
            </w:r>
            <w:r>
              <w:rPr>
                <w:rFonts w:hint="eastAsia" w:asciiTheme="minorEastAsia" w:hAnsiTheme="minorEastAsia" w:eastAsiaTheme="minorEastAsia"/>
                <w:bCs/>
                <w:kern w:val="0"/>
                <w:szCs w:val="21"/>
              </w:rPr>
              <w:t>、查阅记录</w:t>
            </w:r>
          </w:p>
        </w:tc>
        <w:tc>
          <w:tcPr>
            <w:tcW w:w="599"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853" w:type="dxa"/>
            <w:vAlign w:val="center"/>
          </w:tcPr>
          <w:p>
            <w:pPr>
              <w:widowControl/>
              <w:spacing w:line="300" w:lineRule="exact"/>
              <w:jc w:val="center"/>
              <w:rPr>
                <w:rFonts w:asciiTheme="minorEastAsia" w:hAnsiTheme="minorEastAsia" w:eastAsiaTheme="minorEastAsia"/>
                <w:bCs/>
                <w:kern w:val="0"/>
                <w:szCs w:val="21"/>
              </w:rPr>
            </w:pPr>
          </w:p>
        </w:tc>
        <w:tc>
          <w:tcPr>
            <w:tcW w:w="882" w:type="dxa"/>
            <w:vAlign w:val="center"/>
          </w:tcPr>
          <w:p>
            <w:pPr>
              <w:widowControl/>
              <w:spacing w:line="300" w:lineRule="exact"/>
              <w:jc w:val="center"/>
              <w:rPr>
                <w:rFonts w:asciiTheme="minorEastAsia" w:hAnsiTheme="minorEastAsia" w:eastAsiaTheme="minorEastAsia"/>
                <w:bCs/>
                <w:kern w:val="0"/>
                <w:szCs w:val="21"/>
              </w:rPr>
            </w:pPr>
          </w:p>
        </w:tc>
        <w:tc>
          <w:tcPr>
            <w:tcW w:w="212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6.3.3</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根据需要在通风橱管路上安装有毒有害气体的吸附或处理装置（如</w:t>
            </w:r>
            <w:r>
              <w:rPr>
                <w:rFonts w:asciiTheme="minorEastAsia" w:hAnsiTheme="minorEastAsia" w:eastAsiaTheme="minorEastAsia"/>
                <w:kern w:val="0"/>
                <w:szCs w:val="21"/>
              </w:rPr>
              <w:t>活性炭、光催化分</w:t>
            </w:r>
            <w:r>
              <w:rPr>
                <w:rFonts w:hint="eastAsia" w:asciiTheme="minorEastAsia" w:hAnsiTheme="minorEastAsia" w:eastAsiaTheme="minorEastAsia"/>
                <w:kern w:val="0"/>
                <w:szCs w:val="21"/>
              </w:rPr>
              <w:t>解</w:t>
            </w:r>
            <w:r>
              <w:rPr>
                <w:rFonts w:asciiTheme="minorEastAsia" w:hAnsiTheme="minorEastAsia" w:eastAsiaTheme="minorEastAsia"/>
                <w:kern w:val="0"/>
                <w:szCs w:val="21"/>
              </w:rPr>
              <w:t>、水喷淋等</w:t>
            </w:r>
            <w:r>
              <w:rPr>
                <w:rFonts w:hint="eastAsia" w:asciiTheme="minorEastAsia" w:hAnsiTheme="minorEastAsia" w:eastAsiaTheme="minorEastAsia"/>
                <w:kern w:val="0"/>
                <w:szCs w:val="21"/>
              </w:rPr>
              <w:t>）</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查看</w:t>
            </w:r>
            <w:r>
              <w:rPr>
                <w:rFonts w:asciiTheme="minorEastAsia" w:hAnsiTheme="minorEastAsia" w:eastAsiaTheme="minorEastAsia"/>
                <w:bCs/>
                <w:kern w:val="0"/>
                <w:szCs w:val="21"/>
              </w:rPr>
              <w:t>现场</w:t>
            </w:r>
          </w:p>
        </w:tc>
        <w:tc>
          <w:tcPr>
            <w:tcW w:w="599"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853" w:type="dxa"/>
            <w:vAlign w:val="center"/>
          </w:tcPr>
          <w:p>
            <w:pPr>
              <w:widowControl/>
              <w:spacing w:line="300" w:lineRule="exact"/>
              <w:jc w:val="center"/>
              <w:rPr>
                <w:rFonts w:asciiTheme="minorEastAsia" w:hAnsiTheme="minorEastAsia" w:eastAsiaTheme="minorEastAsia"/>
                <w:bCs/>
                <w:kern w:val="0"/>
                <w:szCs w:val="21"/>
              </w:rPr>
            </w:pPr>
          </w:p>
        </w:tc>
        <w:tc>
          <w:tcPr>
            <w:tcW w:w="882" w:type="dxa"/>
            <w:vAlign w:val="center"/>
          </w:tcPr>
          <w:p>
            <w:pPr>
              <w:widowControl/>
              <w:spacing w:line="300" w:lineRule="exact"/>
              <w:jc w:val="center"/>
              <w:rPr>
                <w:rFonts w:asciiTheme="minorEastAsia" w:hAnsiTheme="minorEastAsia" w:eastAsiaTheme="minorEastAsia"/>
                <w:bCs/>
                <w:kern w:val="0"/>
                <w:szCs w:val="21"/>
              </w:rPr>
            </w:pPr>
          </w:p>
        </w:tc>
        <w:tc>
          <w:tcPr>
            <w:tcW w:w="212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6.3.4</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599"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853" w:type="dxa"/>
            <w:vAlign w:val="center"/>
          </w:tcPr>
          <w:p>
            <w:pPr>
              <w:widowControl/>
              <w:spacing w:line="300" w:lineRule="exact"/>
              <w:jc w:val="center"/>
              <w:rPr>
                <w:rFonts w:asciiTheme="minorEastAsia" w:hAnsiTheme="minorEastAsia" w:eastAsiaTheme="minorEastAsia"/>
                <w:bCs/>
                <w:kern w:val="0"/>
                <w:szCs w:val="21"/>
              </w:rPr>
            </w:pPr>
          </w:p>
        </w:tc>
        <w:tc>
          <w:tcPr>
            <w:tcW w:w="882" w:type="dxa"/>
            <w:vAlign w:val="center"/>
          </w:tcPr>
          <w:p>
            <w:pPr>
              <w:widowControl/>
              <w:spacing w:line="300" w:lineRule="exact"/>
              <w:jc w:val="center"/>
              <w:rPr>
                <w:rFonts w:asciiTheme="minorEastAsia" w:hAnsiTheme="minorEastAsia" w:eastAsiaTheme="minorEastAsia"/>
                <w:bCs/>
                <w:kern w:val="0"/>
                <w:szCs w:val="21"/>
              </w:rPr>
            </w:pPr>
          </w:p>
        </w:tc>
        <w:tc>
          <w:tcPr>
            <w:tcW w:w="212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6.3.5</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进行实验时，可调玻璃视窗开至据台面10</w:t>
            </w:r>
            <w:r>
              <w:rPr>
                <w:rFonts w:asciiTheme="minorEastAsia" w:hAnsiTheme="minorEastAsia" w:eastAsiaTheme="minorEastAsia"/>
                <w:kern w:val="0"/>
                <w:szCs w:val="21"/>
              </w:rPr>
              <w:t>-</w:t>
            </w:r>
            <w:r>
              <w:rPr>
                <w:rFonts w:hint="eastAsia" w:asciiTheme="minorEastAsia" w:hAnsiTheme="minorEastAsia" w:eastAsiaTheme="minorEastAsia"/>
                <w:kern w:val="0"/>
                <w:szCs w:val="21"/>
              </w:rPr>
              <w:t>15cm，保持</w:t>
            </w:r>
            <w:r>
              <w:rPr>
                <w:rFonts w:asciiTheme="minorEastAsia" w:hAnsiTheme="minorEastAsia" w:eastAsiaTheme="minorEastAsia"/>
                <w:kern w:val="0"/>
                <w:szCs w:val="21"/>
              </w:rPr>
              <w:t>通风效果，并保护</w:t>
            </w:r>
            <w:r>
              <w:rPr>
                <w:rFonts w:hint="eastAsia" w:asciiTheme="minorEastAsia" w:hAnsiTheme="minorEastAsia" w:eastAsiaTheme="minorEastAsia"/>
                <w:kern w:val="0"/>
                <w:szCs w:val="21"/>
              </w:rPr>
              <w:t>操作人员胸部以上部位</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r>
              <w:rPr>
                <w:rFonts w:asciiTheme="minorEastAsia" w:hAnsiTheme="minorEastAsia" w:eastAsiaTheme="minorEastAsia"/>
                <w:bCs/>
                <w:kern w:val="0"/>
                <w:szCs w:val="21"/>
              </w:rPr>
              <w:t>玻璃视窗材料应是钢化玻璃</w:t>
            </w:r>
          </w:p>
        </w:tc>
        <w:tc>
          <w:tcPr>
            <w:tcW w:w="599"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853" w:type="dxa"/>
            <w:vAlign w:val="center"/>
          </w:tcPr>
          <w:p>
            <w:pPr>
              <w:widowControl/>
              <w:spacing w:line="300" w:lineRule="exact"/>
              <w:jc w:val="center"/>
              <w:rPr>
                <w:rFonts w:asciiTheme="minorEastAsia" w:hAnsiTheme="minorEastAsia" w:eastAsiaTheme="minorEastAsia"/>
                <w:bCs/>
                <w:kern w:val="0"/>
                <w:szCs w:val="21"/>
              </w:rPr>
            </w:pPr>
          </w:p>
        </w:tc>
        <w:tc>
          <w:tcPr>
            <w:tcW w:w="882" w:type="dxa"/>
            <w:vAlign w:val="center"/>
          </w:tcPr>
          <w:p>
            <w:pPr>
              <w:widowControl/>
              <w:spacing w:line="300" w:lineRule="exact"/>
              <w:jc w:val="center"/>
              <w:rPr>
                <w:rFonts w:asciiTheme="minorEastAsia" w:hAnsiTheme="minorEastAsia" w:eastAsiaTheme="minorEastAsia"/>
                <w:bCs/>
                <w:kern w:val="0"/>
                <w:szCs w:val="21"/>
              </w:rPr>
            </w:pPr>
          </w:p>
        </w:tc>
        <w:tc>
          <w:tcPr>
            <w:tcW w:w="212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6.3.6</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599"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853" w:type="dxa"/>
            <w:vAlign w:val="center"/>
          </w:tcPr>
          <w:p>
            <w:pPr>
              <w:widowControl/>
              <w:spacing w:line="300" w:lineRule="exact"/>
              <w:jc w:val="center"/>
              <w:rPr>
                <w:rFonts w:asciiTheme="minorEastAsia" w:hAnsiTheme="minorEastAsia" w:eastAsiaTheme="minorEastAsia"/>
                <w:bCs/>
                <w:kern w:val="0"/>
                <w:szCs w:val="21"/>
              </w:rPr>
            </w:pPr>
          </w:p>
        </w:tc>
        <w:tc>
          <w:tcPr>
            <w:tcW w:w="882" w:type="dxa"/>
            <w:vAlign w:val="center"/>
          </w:tcPr>
          <w:p>
            <w:pPr>
              <w:widowControl/>
              <w:spacing w:line="300" w:lineRule="exact"/>
              <w:jc w:val="center"/>
              <w:rPr>
                <w:rFonts w:asciiTheme="minorEastAsia" w:hAnsiTheme="minorEastAsia" w:eastAsiaTheme="minorEastAsia"/>
                <w:bCs/>
                <w:kern w:val="0"/>
                <w:szCs w:val="21"/>
              </w:rPr>
            </w:pPr>
          </w:p>
        </w:tc>
        <w:tc>
          <w:tcPr>
            <w:tcW w:w="212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6.3.7</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通风橱内应避免放置过多物品、器材，以免干扰空气的正常流动；通风橱内放置</w:t>
            </w:r>
            <w:r>
              <w:rPr>
                <w:rFonts w:asciiTheme="minorEastAsia" w:hAnsiTheme="minorEastAsia" w:eastAsiaTheme="minorEastAsia"/>
                <w:kern w:val="0"/>
                <w:szCs w:val="21"/>
              </w:rPr>
              <w:t>物品</w:t>
            </w:r>
            <w:r>
              <w:rPr>
                <w:rFonts w:hint="eastAsia" w:asciiTheme="minorEastAsia" w:hAnsiTheme="minorEastAsia" w:eastAsiaTheme="minorEastAsia"/>
                <w:kern w:val="0"/>
                <w:szCs w:val="21"/>
              </w:rPr>
              <w:t>应距离调节门内侧15cm左右，以免</w:t>
            </w:r>
            <w:r>
              <w:rPr>
                <w:rFonts w:asciiTheme="minorEastAsia" w:hAnsiTheme="minorEastAsia" w:eastAsiaTheme="minorEastAsia"/>
                <w:kern w:val="0"/>
                <w:szCs w:val="21"/>
              </w:rPr>
              <w:t>掉落</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599"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853" w:type="dxa"/>
            <w:vAlign w:val="center"/>
          </w:tcPr>
          <w:p>
            <w:pPr>
              <w:widowControl/>
              <w:spacing w:line="300" w:lineRule="exact"/>
              <w:jc w:val="center"/>
              <w:rPr>
                <w:rFonts w:asciiTheme="minorEastAsia" w:hAnsiTheme="minorEastAsia" w:eastAsiaTheme="minorEastAsia"/>
                <w:bCs/>
                <w:kern w:val="0"/>
                <w:szCs w:val="21"/>
              </w:rPr>
            </w:pPr>
          </w:p>
        </w:tc>
        <w:tc>
          <w:tcPr>
            <w:tcW w:w="882" w:type="dxa"/>
            <w:vAlign w:val="center"/>
          </w:tcPr>
          <w:p>
            <w:pPr>
              <w:widowControl/>
              <w:spacing w:line="300" w:lineRule="exact"/>
              <w:jc w:val="center"/>
              <w:rPr>
                <w:rFonts w:asciiTheme="minorEastAsia" w:hAnsiTheme="minorEastAsia" w:eastAsiaTheme="minorEastAsia"/>
                <w:bCs/>
                <w:kern w:val="0"/>
                <w:szCs w:val="21"/>
              </w:rPr>
            </w:pPr>
          </w:p>
        </w:tc>
        <w:tc>
          <w:tcPr>
            <w:tcW w:w="212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6.3.8</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涉及</w:t>
            </w:r>
            <w:r>
              <w:rPr>
                <w:rFonts w:asciiTheme="minorEastAsia" w:hAnsiTheme="minorEastAsia" w:eastAsiaTheme="minorEastAsia"/>
                <w:kern w:val="0"/>
                <w:szCs w:val="21"/>
              </w:rPr>
              <w:t>易燃易爆有机试剂的通风</w:t>
            </w:r>
            <w:r>
              <w:rPr>
                <w:rFonts w:hint="eastAsia" w:asciiTheme="minorEastAsia" w:hAnsiTheme="minorEastAsia" w:eastAsiaTheme="minorEastAsia"/>
                <w:kern w:val="0"/>
                <w:szCs w:val="21"/>
              </w:rPr>
              <w:t>橱</w:t>
            </w:r>
            <w:r>
              <w:rPr>
                <w:rFonts w:asciiTheme="minorEastAsia" w:hAnsiTheme="minorEastAsia" w:eastAsiaTheme="minorEastAsia"/>
                <w:kern w:val="0"/>
                <w:szCs w:val="21"/>
              </w:rPr>
              <w:t>内不得安装电源插座</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599"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853" w:type="dxa"/>
            <w:vAlign w:val="center"/>
          </w:tcPr>
          <w:p>
            <w:pPr>
              <w:widowControl/>
              <w:spacing w:line="300" w:lineRule="exact"/>
              <w:jc w:val="center"/>
              <w:rPr>
                <w:rFonts w:asciiTheme="minorEastAsia" w:hAnsiTheme="minorEastAsia" w:eastAsiaTheme="minorEastAsia"/>
                <w:bCs/>
                <w:kern w:val="0"/>
                <w:szCs w:val="21"/>
              </w:rPr>
            </w:pPr>
          </w:p>
        </w:tc>
        <w:tc>
          <w:tcPr>
            <w:tcW w:w="882" w:type="dxa"/>
            <w:vAlign w:val="center"/>
          </w:tcPr>
          <w:p>
            <w:pPr>
              <w:widowControl/>
              <w:spacing w:line="300" w:lineRule="exact"/>
              <w:jc w:val="center"/>
              <w:rPr>
                <w:rFonts w:asciiTheme="minorEastAsia" w:hAnsiTheme="minorEastAsia" w:eastAsiaTheme="minorEastAsia"/>
                <w:bCs/>
                <w:kern w:val="0"/>
                <w:szCs w:val="21"/>
              </w:rPr>
            </w:pPr>
          </w:p>
        </w:tc>
        <w:tc>
          <w:tcPr>
            <w:tcW w:w="212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6.3.9</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配备通风罩等的实验场所，</w:t>
            </w:r>
            <w:r>
              <w:rPr>
                <w:rFonts w:asciiTheme="minorEastAsia" w:hAnsiTheme="minorEastAsia" w:eastAsiaTheme="minorEastAsia"/>
                <w:kern w:val="0"/>
                <w:szCs w:val="21"/>
              </w:rPr>
              <w:t>换气扇、风机使用正常</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出口是否堵塞</w:t>
            </w:r>
          </w:p>
        </w:tc>
        <w:tc>
          <w:tcPr>
            <w:tcW w:w="599"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853" w:type="dxa"/>
            <w:vAlign w:val="center"/>
          </w:tcPr>
          <w:p>
            <w:pPr>
              <w:widowControl/>
              <w:spacing w:line="300" w:lineRule="exact"/>
              <w:jc w:val="center"/>
              <w:rPr>
                <w:rFonts w:asciiTheme="minorEastAsia" w:hAnsiTheme="minorEastAsia" w:eastAsiaTheme="minorEastAsia"/>
                <w:bCs/>
                <w:kern w:val="0"/>
                <w:szCs w:val="21"/>
              </w:rPr>
            </w:pPr>
          </w:p>
        </w:tc>
        <w:tc>
          <w:tcPr>
            <w:tcW w:w="882" w:type="dxa"/>
            <w:vAlign w:val="center"/>
          </w:tcPr>
          <w:p>
            <w:pPr>
              <w:widowControl/>
              <w:spacing w:line="300" w:lineRule="exact"/>
              <w:jc w:val="center"/>
              <w:rPr>
                <w:rFonts w:asciiTheme="minorEastAsia" w:hAnsiTheme="minorEastAsia" w:eastAsiaTheme="minorEastAsia"/>
                <w:bCs/>
                <w:kern w:val="0"/>
                <w:szCs w:val="21"/>
              </w:rPr>
            </w:pPr>
          </w:p>
        </w:tc>
        <w:tc>
          <w:tcPr>
            <w:tcW w:w="212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6.4</w:t>
            </w:r>
          </w:p>
        </w:tc>
        <w:tc>
          <w:tcPr>
            <w:tcW w:w="13524"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hint="eastAsia" w:asciiTheme="minorEastAsia" w:hAnsiTheme="minorEastAsia" w:eastAsiaTheme="minorEastAsia"/>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6.4.1</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szCs w:val="21"/>
              </w:rPr>
              <w:t>在剧毒品、病原微生物，特种设备和放射源存放点等重点</w:t>
            </w:r>
            <w:r>
              <w:rPr>
                <w:rFonts w:asciiTheme="minorEastAsia" w:hAnsiTheme="minorEastAsia" w:eastAsiaTheme="minorEastAsia"/>
                <w:szCs w:val="21"/>
              </w:rPr>
              <w:t>场所</w:t>
            </w:r>
            <w:r>
              <w:rPr>
                <w:rFonts w:hint="eastAsia" w:asciiTheme="minorEastAsia" w:hAnsiTheme="minorEastAsia" w:eastAsiaTheme="minorEastAsia"/>
                <w:szCs w:val="21"/>
              </w:rPr>
              <w:t>安装门禁和监控设施，运转正常，有专人管理</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599"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853" w:type="dxa"/>
            <w:vAlign w:val="center"/>
          </w:tcPr>
          <w:p>
            <w:pPr>
              <w:widowControl/>
              <w:spacing w:line="300" w:lineRule="exact"/>
              <w:jc w:val="center"/>
              <w:rPr>
                <w:rFonts w:asciiTheme="minorEastAsia" w:hAnsiTheme="minorEastAsia" w:eastAsiaTheme="minorEastAsia"/>
                <w:bCs/>
                <w:kern w:val="0"/>
                <w:szCs w:val="21"/>
              </w:rPr>
            </w:pPr>
          </w:p>
        </w:tc>
        <w:tc>
          <w:tcPr>
            <w:tcW w:w="882" w:type="dxa"/>
            <w:vAlign w:val="center"/>
          </w:tcPr>
          <w:p>
            <w:pPr>
              <w:widowControl/>
              <w:spacing w:line="300" w:lineRule="exact"/>
              <w:jc w:val="center"/>
              <w:rPr>
                <w:rFonts w:asciiTheme="minorEastAsia" w:hAnsiTheme="minorEastAsia" w:eastAsiaTheme="minorEastAsia"/>
                <w:bCs/>
                <w:kern w:val="0"/>
                <w:szCs w:val="21"/>
              </w:rPr>
            </w:pPr>
          </w:p>
        </w:tc>
        <w:tc>
          <w:tcPr>
            <w:tcW w:w="212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6.4.2</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szCs w:val="21"/>
              </w:rPr>
              <w:t>监控不留死角，图像清晰，人员出入记录可查，视频记录存储时间大于1个月</w:t>
            </w:r>
            <w:r>
              <w:rPr>
                <w:rFonts w:asciiTheme="minorEastAsia" w:hAnsiTheme="minorEastAsia" w:eastAsiaTheme="minorEastAsia"/>
                <w:kern w:val="0"/>
                <w:szCs w:val="21"/>
              </w:rPr>
              <w:t xml:space="preserve"> </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599"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853" w:type="dxa"/>
            <w:vAlign w:val="center"/>
          </w:tcPr>
          <w:p>
            <w:pPr>
              <w:widowControl/>
              <w:spacing w:line="300" w:lineRule="exact"/>
              <w:jc w:val="center"/>
              <w:rPr>
                <w:rFonts w:asciiTheme="minorEastAsia" w:hAnsiTheme="minorEastAsia" w:eastAsiaTheme="minorEastAsia"/>
                <w:bCs/>
                <w:kern w:val="0"/>
                <w:szCs w:val="21"/>
              </w:rPr>
            </w:pPr>
          </w:p>
        </w:tc>
        <w:tc>
          <w:tcPr>
            <w:tcW w:w="882" w:type="dxa"/>
            <w:vAlign w:val="center"/>
          </w:tcPr>
          <w:p>
            <w:pPr>
              <w:widowControl/>
              <w:spacing w:line="300" w:lineRule="exact"/>
              <w:jc w:val="center"/>
              <w:rPr>
                <w:rFonts w:asciiTheme="minorEastAsia" w:hAnsiTheme="minorEastAsia" w:eastAsiaTheme="minorEastAsia"/>
                <w:bCs/>
                <w:kern w:val="0"/>
                <w:szCs w:val="21"/>
              </w:rPr>
            </w:pPr>
          </w:p>
        </w:tc>
        <w:tc>
          <w:tcPr>
            <w:tcW w:w="212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6.4.3</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szCs w:val="21"/>
              </w:rPr>
            </w:pPr>
            <w:r>
              <w:rPr>
                <w:rFonts w:asciiTheme="minorEastAsia" w:hAnsiTheme="minorEastAsia" w:eastAsiaTheme="minorEastAsia"/>
                <w:szCs w:val="21"/>
              </w:rPr>
              <w:t>实验室采用门禁系统</w:t>
            </w:r>
            <w:r>
              <w:rPr>
                <w:rFonts w:hint="eastAsia" w:asciiTheme="minorEastAsia" w:hAnsiTheme="minorEastAsia" w:eastAsiaTheme="minorEastAsia"/>
                <w:szCs w:val="21"/>
              </w:rPr>
              <w:t>的</w:t>
            </w:r>
            <w:r>
              <w:rPr>
                <w:rFonts w:asciiTheme="minorEastAsia" w:hAnsiTheme="minorEastAsia" w:eastAsiaTheme="minorEastAsia"/>
                <w:szCs w:val="21"/>
              </w:rPr>
              <w:t>，与实验室准入制度</w:t>
            </w:r>
            <w:r>
              <w:rPr>
                <w:rFonts w:hint="eastAsia" w:asciiTheme="minorEastAsia" w:hAnsiTheme="minorEastAsia" w:eastAsiaTheme="minorEastAsia"/>
                <w:szCs w:val="21"/>
              </w:rPr>
              <w:t>相</w:t>
            </w:r>
            <w:r>
              <w:rPr>
                <w:rFonts w:asciiTheme="minorEastAsia" w:hAnsiTheme="minorEastAsia" w:eastAsiaTheme="minorEastAsia"/>
                <w:szCs w:val="21"/>
              </w:rPr>
              <w:t>匹配</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599"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853" w:type="dxa"/>
            <w:vAlign w:val="center"/>
          </w:tcPr>
          <w:p>
            <w:pPr>
              <w:widowControl/>
              <w:spacing w:line="300" w:lineRule="exact"/>
              <w:jc w:val="center"/>
              <w:rPr>
                <w:rFonts w:asciiTheme="minorEastAsia" w:hAnsiTheme="minorEastAsia" w:eastAsiaTheme="minorEastAsia"/>
                <w:bCs/>
                <w:kern w:val="0"/>
                <w:szCs w:val="21"/>
              </w:rPr>
            </w:pPr>
          </w:p>
        </w:tc>
        <w:tc>
          <w:tcPr>
            <w:tcW w:w="882" w:type="dxa"/>
            <w:vAlign w:val="center"/>
          </w:tcPr>
          <w:p>
            <w:pPr>
              <w:widowControl/>
              <w:spacing w:line="300" w:lineRule="exact"/>
              <w:jc w:val="center"/>
              <w:rPr>
                <w:rFonts w:asciiTheme="minorEastAsia" w:hAnsiTheme="minorEastAsia" w:eastAsiaTheme="minorEastAsia"/>
                <w:bCs/>
                <w:kern w:val="0"/>
                <w:szCs w:val="21"/>
              </w:rPr>
            </w:pPr>
          </w:p>
        </w:tc>
        <w:tc>
          <w:tcPr>
            <w:tcW w:w="212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6.4.4</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szCs w:val="21"/>
              </w:rPr>
            </w:pPr>
            <w:r>
              <w:rPr>
                <w:rFonts w:asciiTheme="minorEastAsia" w:hAnsiTheme="minorEastAsia" w:eastAsiaTheme="minorEastAsia"/>
                <w:szCs w:val="21"/>
              </w:rPr>
              <w:t>停电时</w:t>
            </w:r>
            <w:r>
              <w:rPr>
                <w:rFonts w:hint="eastAsia" w:asciiTheme="minorEastAsia" w:hAnsiTheme="minorEastAsia" w:eastAsiaTheme="minorEastAsia"/>
                <w:szCs w:val="21"/>
              </w:rPr>
              <w:t>，电子</w:t>
            </w:r>
            <w:r>
              <w:rPr>
                <w:rFonts w:asciiTheme="minorEastAsia" w:hAnsiTheme="minorEastAsia" w:eastAsiaTheme="minorEastAsia"/>
                <w:szCs w:val="21"/>
              </w:rPr>
              <w:t>门禁系统</w:t>
            </w:r>
            <w:r>
              <w:rPr>
                <w:rFonts w:hint="eastAsia" w:asciiTheme="minorEastAsia" w:hAnsiTheme="minorEastAsia" w:eastAsiaTheme="minorEastAsia"/>
                <w:szCs w:val="21"/>
              </w:rPr>
              <w:t>应</w:t>
            </w:r>
            <w:r>
              <w:rPr>
                <w:rFonts w:asciiTheme="minorEastAsia" w:hAnsiTheme="minorEastAsia" w:eastAsiaTheme="minorEastAsia"/>
                <w:szCs w:val="21"/>
              </w:rPr>
              <w:t>是开启状态</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599"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853" w:type="dxa"/>
            <w:vAlign w:val="center"/>
          </w:tcPr>
          <w:p>
            <w:pPr>
              <w:widowControl/>
              <w:spacing w:line="300" w:lineRule="exact"/>
              <w:jc w:val="center"/>
              <w:rPr>
                <w:rFonts w:asciiTheme="minorEastAsia" w:hAnsiTheme="minorEastAsia" w:eastAsiaTheme="minorEastAsia"/>
                <w:bCs/>
                <w:kern w:val="0"/>
                <w:szCs w:val="21"/>
              </w:rPr>
            </w:pPr>
          </w:p>
        </w:tc>
        <w:tc>
          <w:tcPr>
            <w:tcW w:w="882" w:type="dxa"/>
            <w:vAlign w:val="center"/>
          </w:tcPr>
          <w:p>
            <w:pPr>
              <w:widowControl/>
              <w:spacing w:line="300" w:lineRule="exact"/>
              <w:jc w:val="center"/>
              <w:rPr>
                <w:rFonts w:asciiTheme="minorEastAsia" w:hAnsiTheme="minorEastAsia" w:eastAsiaTheme="minorEastAsia"/>
                <w:bCs/>
                <w:kern w:val="0"/>
                <w:szCs w:val="21"/>
              </w:rPr>
            </w:pPr>
          </w:p>
        </w:tc>
        <w:tc>
          <w:tcPr>
            <w:tcW w:w="212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6.5</w:t>
            </w:r>
          </w:p>
        </w:tc>
        <w:tc>
          <w:tcPr>
            <w:tcW w:w="13524"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szCs w:val="21"/>
              </w:rPr>
            </w:pPr>
            <w:r>
              <w:rPr>
                <w:rFonts w:hint="eastAsia" w:asciiTheme="minorEastAsia" w:hAnsiTheme="minorEastAsia" w:eastAsiaTheme="minorEastAsia"/>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6.5.1</w:t>
            </w:r>
          </w:p>
        </w:tc>
        <w:tc>
          <w:tcPr>
            <w:tcW w:w="5810" w:type="dxa"/>
            <w:shd w:val="clear" w:color="auto" w:fill="auto"/>
            <w:tcMar>
              <w:left w:w="45" w:type="dxa"/>
              <w:right w:w="45" w:type="dxa"/>
            </w:tcMar>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防爆实验室需符合防爆设计要求，安装防爆开关、防爆灯等，安装必要</w:t>
            </w:r>
            <w:r>
              <w:rPr>
                <w:rFonts w:asciiTheme="minorEastAsia" w:hAnsiTheme="minorEastAsia" w:eastAsiaTheme="minorEastAsia"/>
                <w:szCs w:val="21"/>
              </w:rPr>
              <w:t>的</w:t>
            </w:r>
            <w:r>
              <w:rPr>
                <w:rFonts w:hint="eastAsia" w:asciiTheme="minorEastAsia" w:hAnsiTheme="minorEastAsia" w:eastAsiaTheme="minorEastAsia"/>
                <w:szCs w:val="21"/>
              </w:rPr>
              <w:t>气体报警系统、监控系统及断电断水应急系统等</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599" w:type="dxa"/>
            <w:tcMar>
              <w:left w:w="45" w:type="dxa"/>
              <w:right w:w="45" w:type="dxa"/>
            </w:tcMar>
            <w:vAlign w:val="center"/>
          </w:tcPr>
          <w:p>
            <w:pPr>
              <w:widowControl/>
              <w:spacing w:line="300" w:lineRule="exact"/>
              <w:jc w:val="center"/>
              <w:rPr>
                <w:rFonts w:asciiTheme="minorEastAsia" w:hAnsiTheme="minorEastAsia" w:eastAsiaTheme="minorEastAsia"/>
                <w:szCs w:val="21"/>
              </w:rPr>
            </w:pPr>
          </w:p>
        </w:tc>
        <w:tc>
          <w:tcPr>
            <w:tcW w:w="853" w:type="dxa"/>
            <w:vAlign w:val="center"/>
          </w:tcPr>
          <w:p>
            <w:pPr>
              <w:widowControl/>
              <w:spacing w:line="300" w:lineRule="exact"/>
              <w:jc w:val="center"/>
              <w:rPr>
                <w:rFonts w:asciiTheme="minorEastAsia" w:hAnsiTheme="minorEastAsia" w:eastAsiaTheme="minorEastAsia"/>
                <w:szCs w:val="21"/>
              </w:rPr>
            </w:pPr>
          </w:p>
        </w:tc>
        <w:tc>
          <w:tcPr>
            <w:tcW w:w="882" w:type="dxa"/>
            <w:vAlign w:val="center"/>
          </w:tcPr>
          <w:p>
            <w:pPr>
              <w:widowControl/>
              <w:spacing w:line="300" w:lineRule="exact"/>
              <w:jc w:val="center"/>
              <w:rPr>
                <w:rFonts w:asciiTheme="minorEastAsia" w:hAnsiTheme="minorEastAsia" w:eastAsiaTheme="minorEastAsia"/>
                <w:szCs w:val="21"/>
              </w:rPr>
            </w:pPr>
          </w:p>
        </w:tc>
        <w:tc>
          <w:tcPr>
            <w:tcW w:w="2120" w:type="dxa"/>
            <w:vAlign w:val="center"/>
          </w:tcPr>
          <w:p>
            <w:pPr>
              <w:widowControl/>
              <w:spacing w:line="300" w:lineRule="exact"/>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6.5.2</w:t>
            </w:r>
          </w:p>
        </w:tc>
        <w:tc>
          <w:tcPr>
            <w:tcW w:w="5810" w:type="dxa"/>
            <w:shd w:val="clear" w:color="auto" w:fill="auto"/>
            <w:tcMar>
              <w:left w:w="45" w:type="dxa"/>
              <w:right w:w="45" w:type="dxa"/>
            </w:tcMar>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对于产生可燃气体或蒸气的装置，应在其进、出口处安装阻火器。室内应加强通风，以使爆炸物浓度控制在爆炸下限值以下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599" w:type="dxa"/>
            <w:tcMar>
              <w:left w:w="45" w:type="dxa"/>
              <w:right w:w="45" w:type="dxa"/>
            </w:tcMar>
            <w:vAlign w:val="center"/>
          </w:tcPr>
          <w:p>
            <w:pPr>
              <w:widowControl/>
              <w:spacing w:line="300" w:lineRule="exact"/>
              <w:jc w:val="center"/>
              <w:rPr>
                <w:rFonts w:asciiTheme="minorEastAsia" w:hAnsiTheme="minorEastAsia" w:eastAsiaTheme="minorEastAsia"/>
                <w:szCs w:val="21"/>
              </w:rPr>
            </w:pPr>
          </w:p>
        </w:tc>
        <w:tc>
          <w:tcPr>
            <w:tcW w:w="853" w:type="dxa"/>
            <w:vAlign w:val="center"/>
          </w:tcPr>
          <w:p>
            <w:pPr>
              <w:widowControl/>
              <w:spacing w:line="300" w:lineRule="exact"/>
              <w:jc w:val="center"/>
              <w:rPr>
                <w:rFonts w:asciiTheme="minorEastAsia" w:hAnsiTheme="minorEastAsia" w:eastAsiaTheme="minorEastAsia"/>
                <w:szCs w:val="21"/>
              </w:rPr>
            </w:pPr>
          </w:p>
        </w:tc>
        <w:tc>
          <w:tcPr>
            <w:tcW w:w="882" w:type="dxa"/>
            <w:vAlign w:val="center"/>
          </w:tcPr>
          <w:p>
            <w:pPr>
              <w:widowControl/>
              <w:spacing w:line="300" w:lineRule="exact"/>
              <w:jc w:val="center"/>
              <w:rPr>
                <w:rFonts w:asciiTheme="minorEastAsia" w:hAnsiTheme="minorEastAsia" w:eastAsiaTheme="minorEastAsia"/>
                <w:szCs w:val="21"/>
              </w:rPr>
            </w:pPr>
          </w:p>
        </w:tc>
        <w:tc>
          <w:tcPr>
            <w:tcW w:w="2120" w:type="dxa"/>
            <w:vAlign w:val="center"/>
          </w:tcPr>
          <w:p>
            <w:pPr>
              <w:widowControl/>
              <w:spacing w:line="300" w:lineRule="exact"/>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6.5.3</w:t>
            </w:r>
          </w:p>
        </w:tc>
        <w:tc>
          <w:tcPr>
            <w:tcW w:w="5810" w:type="dxa"/>
            <w:shd w:val="clear" w:color="auto" w:fill="auto"/>
            <w:tcMar>
              <w:left w:w="45" w:type="dxa"/>
              <w:right w:w="45" w:type="dxa"/>
            </w:tcMar>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对于有爆炸危险性的仪器设备，应使用合适的安全罩防护。</w:t>
            </w:r>
            <w:r>
              <w:rPr>
                <w:rFonts w:asciiTheme="minorEastAsia" w:hAnsiTheme="minorEastAsia" w:eastAsiaTheme="minorEastAsia"/>
                <w:szCs w:val="21"/>
              </w:rPr>
              <w:t xml:space="preserve"> </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599" w:type="dxa"/>
            <w:tcMar>
              <w:left w:w="45" w:type="dxa"/>
              <w:right w:w="45" w:type="dxa"/>
            </w:tcMar>
            <w:vAlign w:val="center"/>
          </w:tcPr>
          <w:p>
            <w:pPr>
              <w:widowControl/>
              <w:spacing w:line="300" w:lineRule="exact"/>
              <w:jc w:val="center"/>
              <w:rPr>
                <w:rFonts w:asciiTheme="minorEastAsia" w:hAnsiTheme="minorEastAsia" w:eastAsiaTheme="minorEastAsia"/>
                <w:szCs w:val="21"/>
              </w:rPr>
            </w:pPr>
          </w:p>
        </w:tc>
        <w:tc>
          <w:tcPr>
            <w:tcW w:w="853" w:type="dxa"/>
            <w:vAlign w:val="center"/>
          </w:tcPr>
          <w:p>
            <w:pPr>
              <w:widowControl/>
              <w:spacing w:line="300" w:lineRule="exact"/>
              <w:jc w:val="center"/>
              <w:rPr>
                <w:rFonts w:asciiTheme="minorEastAsia" w:hAnsiTheme="minorEastAsia" w:eastAsiaTheme="minorEastAsia"/>
                <w:szCs w:val="21"/>
              </w:rPr>
            </w:pPr>
          </w:p>
        </w:tc>
        <w:tc>
          <w:tcPr>
            <w:tcW w:w="882" w:type="dxa"/>
            <w:vAlign w:val="center"/>
          </w:tcPr>
          <w:p>
            <w:pPr>
              <w:widowControl/>
              <w:spacing w:line="300" w:lineRule="exact"/>
              <w:jc w:val="center"/>
              <w:rPr>
                <w:rFonts w:asciiTheme="minorEastAsia" w:hAnsiTheme="minorEastAsia" w:eastAsiaTheme="minorEastAsia"/>
                <w:szCs w:val="21"/>
              </w:rPr>
            </w:pPr>
          </w:p>
        </w:tc>
        <w:tc>
          <w:tcPr>
            <w:tcW w:w="2120" w:type="dxa"/>
            <w:vAlign w:val="center"/>
          </w:tcPr>
          <w:p>
            <w:pPr>
              <w:widowControl/>
              <w:spacing w:line="300" w:lineRule="exact"/>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7</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基础</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kern w:val="0"/>
                <w:szCs w:val="21"/>
              </w:rPr>
              <w:t>7.1</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用电基础安全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7.1.1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用电</w:t>
            </w:r>
            <w:r>
              <w:rPr>
                <w:bCs/>
                <w:kern w:val="0"/>
                <w:szCs w:val="21"/>
              </w:rPr>
              <w:t>功率匹配</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7.1.2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 xml:space="preserve">现场查看 </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7.1.3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7.1.4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7.1.5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查看现场</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7.1.6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有提醒标志</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7.1.7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7.1.8</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7.1.9</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配电柜/箱无物品遮挡并便于操作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7.1.10</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7.1.11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7.1.12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积水时，地插须断电</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7.1.13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7.2</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用水安全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7.2.1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查看现场</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7.2.2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3260" w:type="dxa"/>
            <w:shd w:val="clear" w:color="auto" w:fill="auto"/>
            <w:tcMar>
              <w:left w:w="45" w:type="dxa"/>
              <w:right w:w="45" w:type="dxa"/>
            </w:tcMar>
            <w:vAlign w:val="center"/>
          </w:tcPr>
          <w:p>
            <w:pPr>
              <w:widowControl/>
              <w:tabs>
                <w:tab w:val="left" w:pos="630"/>
              </w:tabs>
              <w:spacing w:line="300" w:lineRule="exact"/>
              <w:jc w:val="left"/>
              <w:rPr>
                <w:bCs/>
                <w:kern w:val="0"/>
                <w:szCs w:val="21"/>
              </w:rPr>
            </w:pPr>
            <w:r>
              <w:rPr>
                <w:rFonts w:hint="eastAsia"/>
                <w:bCs/>
                <w:kern w:val="0"/>
                <w:szCs w:val="21"/>
              </w:rPr>
              <w:t>查看现场</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7.2.3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无自来水龙头开着时人离开的现象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有提醒标志</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7.2.4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 xml:space="preserve">位置 </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询问</w:t>
            </w:r>
            <w:r>
              <w:rPr>
                <w:bCs/>
                <w:kern w:val="0"/>
                <w:szCs w:val="21"/>
              </w:rPr>
              <w:t>实验人员</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7.3</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个人</w:t>
            </w:r>
            <w:r>
              <w:rPr>
                <w:b/>
                <w:kern w:val="0"/>
                <w:szCs w:val="21"/>
              </w:rPr>
              <w:t>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7.3.1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查看发放登记纪录</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7.3.2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按需要佩戴防护眼镜（如进行化学实验、有危险的机械操作等）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7.3.3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 xml:space="preserve">现场查看、询问 </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7.3.4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操作机床等旋转设备时，不穿戴长围巾、丝巾、领带等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有提醒标志</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7.3.5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r>
              <w:rPr>
                <w:bCs/>
                <w:kern w:val="0"/>
                <w:szCs w:val="21"/>
              </w:rPr>
              <w:t>询问</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7.3.6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7.3.7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 xml:space="preserve">标识 </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7.3.8</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7.4</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7.4.1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危险性实验（如高温、高压、高速运转等）时必须有两人在场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实验纪录</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7.4.2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7.4.3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穿着化学、生物类实验服或带实验手套，不得随意出入非实验区（如会议室、办公室、休息室、餐厅、电梯等）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7.4.4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7.4.5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查看提醒标识</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7.4.6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实验记录</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8</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8.1</w:t>
            </w:r>
          </w:p>
        </w:tc>
        <w:tc>
          <w:tcPr>
            <w:tcW w:w="13524"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8.1.1</w:t>
            </w:r>
          </w:p>
        </w:tc>
        <w:tc>
          <w:tcPr>
            <w:tcW w:w="5810" w:type="dxa"/>
            <w:shd w:val="clear" w:color="auto" w:fill="auto"/>
            <w:tcMar>
              <w:left w:w="45" w:type="dxa"/>
              <w:right w:w="45" w:type="dxa"/>
            </w:tcMar>
            <w:vAlign w:val="center"/>
          </w:tcPr>
          <w:p>
            <w:pPr>
              <w:spacing w:line="300" w:lineRule="exact"/>
              <w:jc w:val="left"/>
              <w:rPr>
                <w:kern w:val="0"/>
                <w:szCs w:val="21"/>
              </w:rPr>
            </w:pPr>
            <w:r>
              <w:rPr>
                <w:kern w:val="0"/>
                <w:szCs w:val="21"/>
              </w:rPr>
              <w:t>一般危险化学品要向具有</w:t>
            </w:r>
            <w:r>
              <w:rPr>
                <w:rFonts w:hint="eastAsia"/>
                <w:kern w:val="0"/>
                <w:szCs w:val="21"/>
              </w:rPr>
              <w:t>危</w:t>
            </w:r>
            <w:r>
              <w:rPr>
                <w:kern w:val="0"/>
                <w:szCs w:val="21"/>
              </w:rPr>
              <w:t>化品生产经营</w:t>
            </w:r>
            <w:r>
              <w:rPr>
                <w:rFonts w:hint="eastAsia"/>
                <w:kern w:val="0"/>
                <w:szCs w:val="21"/>
              </w:rPr>
              <w:t>许可</w:t>
            </w:r>
            <w:r>
              <w:rPr>
                <w:kern w:val="0"/>
                <w:szCs w:val="21"/>
              </w:rPr>
              <w:t>资质的单位购买</w:t>
            </w:r>
          </w:p>
        </w:tc>
        <w:tc>
          <w:tcPr>
            <w:tcW w:w="3260" w:type="dxa"/>
            <w:vMerge w:val="restart"/>
            <w:shd w:val="clear" w:color="auto" w:fill="auto"/>
            <w:tcMar>
              <w:left w:w="45" w:type="dxa"/>
              <w:right w:w="45" w:type="dxa"/>
            </w:tcMar>
            <w:vAlign w:val="center"/>
          </w:tcPr>
          <w:p>
            <w:pPr>
              <w:spacing w:line="300" w:lineRule="exact"/>
              <w:jc w:val="left"/>
              <w:rPr>
                <w:kern w:val="0"/>
                <w:szCs w:val="21"/>
              </w:rPr>
            </w:pPr>
            <w:r>
              <w:rPr>
                <w:rFonts w:hint="eastAsia"/>
                <w:kern w:val="0"/>
                <w:szCs w:val="21"/>
              </w:rPr>
              <w:t>查看相关供应商的行政许可资质证书复印件；</w:t>
            </w:r>
          </w:p>
          <w:p>
            <w:pPr>
              <w:spacing w:line="300" w:lineRule="exact"/>
              <w:jc w:val="left"/>
              <w:rPr>
                <w:kern w:val="0"/>
                <w:szCs w:val="21"/>
              </w:rPr>
            </w:pPr>
            <w:r>
              <w:rPr>
                <w:rFonts w:hint="eastAsia"/>
                <w:kern w:val="0"/>
                <w:szCs w:val="21"/>
              </w:rPr>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8.1.2</w:t>
            </w:r>
          </w:p>
        </w:tc>
        <w:tc>
          <w:tcPr>
            <w:tcW w:w="581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w:t>
            </w:r>
          </w:p>
        </w:tc>
        <w:tc>
          <w:tcPr>
            <w:tcW w:w="3260" w:type="dxa"/>
            <w:vMerge w:val="continue"/>
            <w:shd w:val="clear" w:color="auto" w:fill="auto"/>
            <w:tcMar>
              <w:left w:w="45" w:type="dxa"/>
              <w:right w:w="45" w:type="dxa"/>
            </w:tcMar>
            <w:vAlign w:val="center"/>
          </w:tcPr>
          <w:p>
            <w:pPr>
              <w:widowControl/>
              <w:spacing w:line="300" w:lineRule="exact"/>
              <w:rPr>
                <w:b/>
                <w:bCs/>
                <w:kern w:val="0"/>
                <w:szCs w:val="21"/>
              </w:rPr>
            </w:pP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8.1.3</w:t>
            </w:r>
          </w:p>
        </w:tc>
        <w:tc>
          <w:tcPr>
            <w:tcW w:w="5810" w:type="dxa"/>
            <w:shd w:val="clear" w:color="auto" w:fill="auto"/>
            <w:tcMar>
              <w:left w:w="45" w:type="dxa"/>
              <w:right w:w="45" w:type="dxa"/>
            </w:tcMar>
            <w:vAlign w:val="center"/>
          </w:tcPr>
          <w:p>
            <w:pPr>
              <w:spacing w:line="300" w:lineRule="exact"/>
              <w:jc w:val="left"/>
              <w:rPr>
                <w:kern w:val="0"/>
                <w:szCs w:val="21"/>
              </w:rPr>
            </w:pPr>
            <w:r>
              <w:rPr>
                <w:kern w:val="0"/>
                <w:szCs w:val="21"/>
              </w:rPr>
              <w:t>麻醉药品、精神药品等购买前须向食品药品监督管理部门申请，报批同意后向定点供应商或者定点生产企业采购</w:t>
            </w:r>
          </w:p>
        </w:tc>
        <w:tc>
          <w:tcPr>
            <w:tcW w:w="3260" w:type="dxa"/>
            <w:vMerge w:val="continue"/>
            <w:shd w:val="clear" w:color="auto" w:fill="auto"/>
            <w:tcMar>
              <w:left w:w="45" w:type="dxa"/>
              <w:right w:w="45" w:type="dxa"/>
            </w:tcMar>
            <w:vAlign w:val="center"/>
          </w:tcPr>
          <w:p>
            <w:pPr>
              <w:widowControl/>
              <w:spacing w:line="300" w:lineRule="exact"/>
              <w:rPr>
                <w:b/>
                <w:bCs/>
                <w:kern w:val="0"/>
                <w:szCs w:val="21"/>
              </w:rPr>
            </w:pP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8.1.4</w:t>
            </w:r>
          </w:p>
        </w:tc>
        <w:tc>
          <w:tcPr>
            <w:tcW w:w="5810" w:type="dxa"/>
            <w:shd w:val="clear" w:color="auto" w:fill="auto"/>
            <w:tcMar>
              <w:left w:w="45" w:type="dxa"/>
              <w:right w:w="45" w:type="dxa"/>
            </w:tcMar>
            <w:vAlign w:val="center"/>
          </w:tcPr>
          <w:p>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查看验收记录</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8.1.5</w:t>
            </w:r>
          </w:p>
        </w:tc>
        <w:tc>
          <w:tcPr>
            <w:tcW w:w="581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8.2</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实验室</w:t>
            </w:r>
            <w:r>
              <w:rPr>
                <w:b/>
                <w:kern w:val="0"/>
                <w:szCs w:val="21"/>
              </w:rPr>
              <w:t>化学试剂存放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8.2.1</w:t>
            </w:r>
          </w:p>
        </w:tc>
        <w:tc>
          <w:tcPr>
            <w:tcW w:w="5810" w:type="dxa"/>
            <w:shd w:val="clear" w:color="auto" w:fill="auto"/>
            <w:tcMar>
              <w:left w:w="45" w:type="dxa"/>
              <w:right w:w="45" w:type="dxa"/>
            </w:tcMar>
            <w:vAlign w:val="center"/>
          </w:tcPr>
          <w:p>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化学品安全技术说明书（MSDS）或安全周知卡，</w:t>
            </w:r>
            <w:r>
              <w:rPr>
                <w:rFonts w:hint="eastAsia"/>
                <w:kern w:val="0"/>
                <w:szCs w:val="21"/>
              </w:rPr>
              <w:t>方便查阅</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8.2.2</w:t>
            </w:r>
          </w:p>
        </w:tc>
        <w:tc>
          <w:tcPr>
            <w:tcW w:w="5810" w:type="dxa"/>
            <w:shd w:val="clear" w:color="auto" w:fill="auto"/>
            <w:tcMar>
              <w:left w:w="45" w:type="dxa"/>
              <w:right w:w="45" w:type="dxa"/>
            </w:tcMar>
            <w:vAlign w:val="center"/>
          </w:tcPr>
          <w:p>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8.2.3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8.2.4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不应超过100L或100kg，其中易燃易爆性化学品的存放总量不应超过50L 或50kg，且单一包装容器不应大于20L或20kg</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8.2.5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如单个实验装置存在10L以上甲类物质储罐，或20L以上乙类物质储罐，或50L以上丙类物质储罐，需加装泄露报警器及通风联动装置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看现场</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8.2.6</w:t>
            </w:r>
          </w:p>
        </w:tc>
        <w:tc>
          <w:tcPr>
            <w:tcW w:w="5810" w:type="dxa"/>
            <w:shd w:val="clear" w:color="auto" w:fill="auto"/>
            <w:tcMar>
              <w:left w:w="45" w:type="dxa"/>
              <w:right w:w="45" w:type="dxa"/>
            </w:tcMar>
            <w:vAlign w:val="center"/>
          </w:tcPr>
          <w:p>
            <w:pPr>
              <w:autoSpaceDE w:val="0"/>
              <w:autoSpaceDN w:val="0"/>
              <w:adjustRightInd w:val="0"/>
              <w:spacing w:line="300" w:lineRule="exact"/>
              <w:jc w:val="left"/>
              <w:rPr>
                <w:rFonts w:ascii="宋体" w:hAnsi="ºÚÌå" w:cs="宋体"/>
                <w:kern w:val="0"/>
                <w:szCs w:val="21"/>
              </w:rPr>
            </w:pPr>
            <w:r>
              <w:rPr>
                <w:rFonts w:hint="eastAsia" w:ascii="宋体" w:hAnsi="ºÚÌå" w:cs="宋体"/>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hint="eastAsia" w:ascii="宋体" w:hAnsi="ºÚÌå" w:cs="宋体"/>
                <w:kern w:val="0"/>
                <w:szCs w:val="21"/>
              </w:rPr>
              <w:t>后应及时补上，如不能确认，则以废弃化学品处置</w:t>
            </w:r>
          </w:p>
        </w:tc>
        <w:tc>
          <w:tcPr>
            <w:tcW w:w="3260" w:type="dxa"/>
            <w:shd w:val="clear" w:color="auto" w:fill="auto"/>
            <w:tcMar>
              <w:left w:w="45" w:type="dxa"/>
              <w:right w:w="45" w:type="dxa"/>
            </w:tcMar>
            <w:vAlign w:val="center"/>
          </w:tcPr>
          <w:p>
            <w:pPr>
              <w:widowControl/>
              <w:spacing w:line="300" w:lineRule="exact"/>
              <w:jc w:val="left"/>
              <w:rPr>
                <w:bCs/>
                <w:strike/>
                <w:kern w:val="0"/>
                <w:szCs w:val="21"/>
              </w:rPr>
            </w:pPr>
            <w:r>
              <w:rPr>
                <w:rFonts w:hint="eastAsia"/>
                <w:bCs/>
                <w:kern w:val="0"/>
                <w:szCs w:val="21"/>
              </w:rPr>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8.2.7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查看台账与</w:t>
            </w:r>
            <w:r>
              <w:rPr>
                <w:bCs/>
                <w:kern w:val="0"/>
                <w:szCs w:val="21"/>
              </w:rPr>
              <w:t>现场</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8.3</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8.3.1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8.3.2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是否有作业指导书</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8.3.3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8.3.4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控制</w:t>
            </w:r>
            <w:r>
              <w:rPr>
                <w:kern w:val="0"/>
                <w:szCs w:val="21"/>
              </w:rPr>
              <w:t>系统工作正常</w:t>
            </w:r>
          </w:p>
        </w:tc>
        <w:tc>
          <w:tcPr>
            <w:tcW w:w="599" w:type="dxa"/>
            <w:tcMar>
              <w:left w:w="45" w:type="dxa"/>
              <w:right w:w="45" w:type="dxa"/>
            </w:tcMar>
            <w:vAlign w:val="center"/>
          </w:tcPr>
          <w:p>
            <w:pPr>
              <w:widowControl/>
              <w:spacing w:line="300" w:lineRule="exact"/>
              <w:jc w:val="center"/>
              <w:rPr>
                <w:kern w:val="0"/>
                <w:szCs w:val="21"/>
              </w:rPr>
            </w:pPr>
          </w:p>
        </w:tc>
        <w:tc>
          <w:tcPr>
            <w:tcW w:w="853" w:type="dxa"/>
            <w:vAlign w:val="center"/>
          </w:tcPr>
          <w:p>
            <w:pPr>
              <w:widowControl/>
              <w:spacing w:line="300" w:lineRule="exact"/>
              <w:jc w:val="center"/>
              <w:rPr>
                <w:kern w:val="0"/>
                <w:szCs w:val="21"/>
              </w:rPr>
            </w:pPr>
          </w:p>
        </w:tc>
        <w:tc>
          <w:tcPr>
            <w:tcW w:w="882" w:type="dxa"/>
            <w:vAlign w:val="center"/>
          </w:tcPr>
          <w:p>
            <w:pPr>
              <w:widowControl/>
              <w:spacing w:line="300" w:lineRule="exact"/>
              <w:jc w:val="center"/>
              <w:rPr>
                <w:kern w:val="0"/>
                <w:szCs w:val="21"/>
              </w:rPr>
            </w:pPr>
          </w:p>
        </w:tc>
        <w:tc>
          <w:tcPr>
            <w:tcW w:w="212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8.3.5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599" w:type="dxa"/>
            <w:tcMar>
              <w:left w:w="45" w:type="dxa"/>
              <w:right w:w="45" w:type="dxa"/>
            </w:tcMar>
            <w:vAlign w:val="center"/>
          </w:tcPr>
          <w:p>
            <w:pPr>
              <w:widowControl/>
              <w:spacing w:line="300" w:lineRule="exact"/>
              <w:jc w:val="center"/>
              <w:rPr>
                <w:kern w:val="0"/>
                <w:szCs w:val="21"/>
              </w:rPr>
            </w:pPr>
          </w:p>
        </w:tc>
        <w:tc>
          <w:tcPr>
            <w:tcW w:w="853" w:type="dxa"/>
            <w:vAlign w:val="center"/>
          </w:tcPr>
          <w:p>
            <w:pPr>
              <w:widowControl/>
              <w:spacing w:line="300" w:lineRule="exact"/>
              <w:jc w:val="center"/>
              <w:rPr>
                <w:kern w:val="0"/>
                <w:szCs w:val="21"/>
              </w:rPr>
            </w:pPr>
          </w:p>
        </w:tc>
        <w:tc>
          <w:tcPr>
            <w:tcW w:w="882" w:type="dxa"/>
            <w:vAlign w:val="center"/>
          </w:tcPr>
          <w:p>
            <w:pPr>
              <w:widowControl/>
              <w:spacing w:line="300" w:lineRule="exact"/>
              <w:jc w:val="center"/>
              <w:rPr>
                <w:kern w:val="0"/>
                <w:szCs w:val="21"/>
              </w:rPr>
            </w:pPr>
          </w:p>
        </w:tc>
        <w:tc>
          <w:tcPr>
            <w:tcW w:w="212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8.3.6</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8.4</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剧毒品管理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8.4.1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2名分别掌管了钥匙和密码的保管人同时到场时才能开启保险柜</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8.4.2</w:t>
            </w:r>
          </w:p>
        </w:tc>
        <w:tc>
          <w:tcPr>
            <w:tcW w:w="5810" w:type="dxa"/>
            <w:shd w:val="clear" w:color="auto" w:fill="auto"/>
            <w:tcMar>
              <w:left w:w="45" w:type="dxa"/>
              <w:right w:w="45" w:type="dxa"/>
            </w:tcMar>
            <w:vAlign w:val="center"/>
          </w:tcPr>
          <w:p>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hint="eastAsia" w:ascii="宋体" w:cs="宋体"/>
                <w:kern w:val="0"/>
                <w:szCs w:val="21"/>
              </w:rPr>
              <w:t>应</w:t>
            </w:r>
            <w:r>
              <w:rPr>
                <w:rFonts w:hint="eastAsia"/>
                <w:kern w:val="0"/>
                <w:szCs w:val="21"/>
              </w:rPr>
              <w:t>严格</w:t>
            </w:r>
            <w:r>
              <w:rPr>
                <w:kern w:val="0"/>
                <w:szCs w:val="21"/>
              </w:rPr>
              <w:t>记录</w:t>
            </w:r>
            <w:r>
              <w:rPr>
                <w:rFonts w:hint="eastAsia" w:ascii="宋体" w:cs="宋体"/>
                <w:kern w:val="0"/>
                <w:szCs w:val="21"/>
              </w:rPr>
              <w:t>品种、规格以</w:t>
            </w:r>
            <w:r>
              <w:rPr>
                <w:rFonts w:ascii="宋体" w:cs="宋体"/>
                <w:kern w:val="0"/>
                <w:szCs w:val="21"/>
              </w:rPr>
              <w:t>及</w:t>
            </w:r>
            <w:r>
              <w:rPr>
                <w:rFonts w:hint="eastAsia" w:ascii="宋体" w:cs="宋体"/>
                <w:kern w:val="0"/>
                <w:szCs w:val="21"/>
              </w:rPr>
              <w:t>购入、发放、退回的日期、单位及经手人、数量以及结存数量</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8.4.3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使用时有两人同时在场，且计量取用后立即放回保险柜，</w:t>
            </w:r>
            <w:r>
              <w:rPr>
                <w:rFonts w:hint="eastAsia" w:ascii="宋体" w:cs="宋体"/>
                <w:kern w:val="0"/>
                <w:szCs w:val="21"/>
              </w:rPr>
              <w:t>详细记载用途，</w:t>
            </w:r>
            <w:r>
              <w:rPr>
                <w:kern w:val="0"/>
                <w:szCs w:val="21"/>
              </w:rPr>
              <w:t>双人签字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查看实验</w:t>
            </w:r>
            <w:r>
              <w:rPr>
                <w:bCs/>
                <w:kern w:val="0"/>
                <w:szCs w:val="21"/>
              </w:rPr>
              <w:t>记录</w:t>
            </w:r>
            <w:r>
              <w:rPr>
                <w:rFonts w:hint="eastAsia"/>
                <w:bCs/>
                <w:kern w:val="0"/>
                <w:szCs w:val="21"/>
              </w:rPr>
              <w:t>、</w:t>
            </w:r>
            <w:r>
              <w:rPr>
                <w:bCs/>
                <w:kern w:val="0"/>
                <w:szCs w:val="21"/>
              </w:rPr>
              <w:t>领用记录本</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8.4.4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8.5</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8.5.1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其中第一类易制毒品实行“五双”管理制度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8.5.2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易制爆品分类存放、专人保管，做好领取、使用、处置记录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8.5.3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8.5.4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麻醉品和精神类药品储存于专门的保险柜中，有规范的领取、使用、处置台账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8.6</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8.6.1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8.6.2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8.6.3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8.6.4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8.6.5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8.6.6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hAnsi="MS Mincho" w:eastAsia="MS Mincho"/>
                <w:bCs/>
                <w:kern w:val="0"/>
                <w:szCs w:val="21"/>
              </w:rPr>
              <w:t>“</w:t>
            </w:r>
            <w:r>
              <w:rPr>
                <w:bCs/>
                <w:kern w:val="0"/>
                <w:szCs w:val="21"/>
              </w:rPr>
              <w:t>满、使用中、用完</w:t>
            </w:r>
            <w:r>
              <w:rPr>
                <w:rFonts w:ascii="MS Mincho" w:hAnsi="MS Mincho" w:eastAsia="MS Mincho"/>
                <w:bCs/>
                <w:kern w:val="0"/>
                <w:szCs w:val="21"/>
              </w:rPr>
              <w:t>”</w:t>
            </w:r>
            <w:r>
              <w:rPr>
                <w:bCs/>
                <w:kern w:val="0"/>
                <w:szCs w:val="21"/>
              </w:rPr>
              <w:t>三种状态</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8.6.7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可燃性气体与氧气等助燃气体不混放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8.6.8</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8.6.9</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8.6.10</w:t>
            </w:r>
          </w:p>
        </w:tc>
        <w:tc>
          <w:tcPr>
            <w:tcW w:w="5810" w:type="dxa"/>
            <w:shd w:val="clear" w:color="auto" w:fill="auto"/>
            <w:tcMar>
              <w:left w:w="45" w:type="dxa"/>
              <w:right w:w="45" w:type="dxa"/>
            </w:tcMar>
            <w:vAlign w:val="center"/>
          </w:tcPr>
          <w:p>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hint="eastAsia" w:ascii="宋体" w:cs="宋体"/>
                <w:kern w:val="0"/>
                <w:szCs w:val="21"/>
              </w:rPr>
              <w:t>每间实验室内存放的氧气和可燃气体不宜超过一瓶，其他气瓶的存放，应控制在最小需求量；</w:t>
            </w:r>
            <w:r>
              <w:rPr>
                <w:kern w:val="0"/>
                <w:szCs w:val="21"/>
              </w:rPr>
              <w:t>气体钢瓶不得放在走廊、大厅等公共场所</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8.6.11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不能带着减压阀移动钢瓶、不得在地上滚动钢瓶</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8.7</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化学废弃物处置</w:t>
            </w:r>
            <w:r>
              <w:rPr>
                <w:rFonts w:hint="eastAsia"/>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8.7.1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与有资质的处置单位（企业）签约处置化学废弃物</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8.7.2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8.7.3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8.7.4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8.7.5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8.7.6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8.7.7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锐器废物盛放在纸板箱等不易被刺穿的容器中</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看现场</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8.8</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8.8.1</w:t>
            </w:r>
          </w:p>
        </w:tc>
        <w:tc>
          <w:tcPr>
            <w:tcW w:w="5810" w:type="dxa"/>
            <w:shd w:val="clear" w:color="auto" w:fill="auto"/>
            <w:tcMar>
              <w:left w:w="45" w:type="dxa"/>
              <w:right w:w="45" w:type="dxa"/>
            </w:tcMar>
            <w:vAlign w:val="center"/>
          </w:tcPr>
          <w:p>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3260" w:type="dxa"/>
            <w:shd w:val="clear" w:color="auto" w:fill="auto"/>
            <w:tcMar>
              <w:left w:w="45" w:type="dxa"/>
              <w:right w:w="45" w:type="dxa"/>
            </w:tcMar>
            <w:vAlign w:val="center"/>
          </w:tcPr>
          <w:p>
            <w:pPr>
              <w:widowControl/>
              <w:spacing w:line="300" w:lineRule="exact"/>
              <w:jc w:val="left"/>
              <w:rPr>
                <w:bCs/>
                <w:kern w:val="0"/>
                <w:szCs w:val="21"/>
                <w:vertAlign w:val="superscript"/>
              </w:rPr>
            </w:pPr>
            <w:r>
              <w:rPr>
                <w:rFonts w:hint="eastAsia"/>
                <w:bCs/>
                <w:kern w:val="0"/>
                <w:szCs w:val="21"/>
              </w:rPr>
              <w:t>独立仓库</w:t>
            </w:r>
            <w:r>
              <w:rPr>
                <w:bCs/>
                <w:kern w:val="0"/>
                <w:szCs w:val="21"/>
              </w:rPr>
              <w:t>一般小于</w:t>
            </w:r>
            <w:r>
              <w:rPr>
                <w:rFonts w:hint="eastAsia"/>
                <w:bCs/>
                <w:kern w:val="0"/>
                <w:szCs w:val="21"/>
              </w:rPr>
              <w:t>550m</w:t>
            </w:r>
            <w:r>
              <w:rPr>
                <w:rFonts w:hint="eastAsia"/>
                <w:bCs/>
                <w:kern w:val="0"/>
                <w:szCs w:val="21"/>
                <w:vertAlign w:val="superscript"/>
              </w:rPr>
              <w:t>2</w:t>
            </w:r>
          </w:p>
          <w:p>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（含</w:t>
            </w:r>
            <w:r>
              <w:rPr>
                <w:bCs/>
                <w:kern w:val="0"/>
                <w:szCs w:val="21"/>
              </w:rPr>
              <w:t>技防</w:t>
            </w:r>
            <w:r>
              <w:rPr>
                <w:rFonts w:hint="eastAsia"/>
                <w:bCs/>
                <w:kern w:val="0"/>
                <w:szCs w:val="21"/>
              </w:rPr>
              <w:t>等）</w:t>
            </w:r>
            <w:r>
              <w:rPr>
                <w:bCs/>
                <w:kern w:val="0"/>
                <w:szCs w:val="21"/>
              </w:rPr>
              <w:t>完备</w:t>
            </w:r>
            <w:r>
              <w:rPr>
                <w:rFonts w:hint="eastAsia"/>
                <w:bCs/>
                <w:kern w:val="0"/>
                <w:szCs w:val="21"/>
              </w:rPr>
              <w:t>，不准设立于</w:t>
            </w:r>
            <w:r>
              <w:rPr>
                <w:bCs/>
                <w:kern w:val="0"/>
                <w:szCs w:val="21"/>
              </w:rPr>
              <w:t>地下</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8.8.2</w:t>
            </w:r>
          </w:p>
        </w:tc>
        <w:tc>
          <w:tcPr>
            <w:tcW w:w="5810" w:type="dxa"/>
            <w:shd w:val="clear" w:color="auto" w:fill="auto"/>
            <w:tcMar>
              <w:left w:w="45" w:type="dxa"/>
              <w:right w:w="45" w:type="dxa"/>
            </w:tcMar>
            <w:vAlign w:val="center"/>
          </w:tcPr>
          <w:p>
            <w:pPr>
              <w:widowControl/>
              <w:spacing w:line="300" w:lineRule="exact"/>
              <w:rPr>
                <w:kern w:val="0"/>
                <w:szCs w:val="21"/>
              </w:rPr>
            </w:pP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8.8.3</w:t>
            </w:r>
          </w:p>
        </w:tc>
        <w:tc>
          <w:tcPr>
            <w:tcW w:w="5810" w:type="dxa"/>
            <w:shd w:val="clear" w:color="auto" w:fill="auto"/>
            <w:tcMar>
              <w:left w:w="45" w:type="dxa"/>
              <w:right w:w="45" w:type="dxa"/>
            </w:tcMar>
            <w:vAlign w:val="center"/>
          </w:tcPr>
          <w:p>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8.8.4</w:t>
            </w:r>
          </w:p>
        </w:tc>
        <w:tc>
          <w:tcPr>
            <w:tcW w:w="5810" w:type="dxa"/>
            <w:shd w:val="clear" w:color="auto" w:fill="auto"/>
            <w:tcMar>
              <w:left w:w="45" w:type="dxa"/>
              <w:right w:w="45" w:type="dxa"/>
            </w:tcMar>
            <w:vAlign w:val="center"/>
          </w:tcPr>
          <w:p>
            <w:pPr>
              <w:widowControl/>
              <w:spacing w:line="300" w:lineRule="exact"/>
              <w:rPr>
                <w:kern w:val="0"/>
                <w:szCs w:val="21"/>
              </w:rPr>
            </w:pPr>
            <w:r>
              <w:rPr>
                <w:szCs w:val="21"/>
              </w:rPr>
              <w:t>化学品、废弃物分类区域明确，规范放置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8.8.5</w:t>
            </w:r>
          </w:p>
        </w:tc>
        <w:tc>
          <w:tcPr>
            <w:tcW w:w="5810" w:type="dxa"/>
            <w:shd w:val="clear" w:color="auto" w:fill="auto"/>
            <w:tcMar>
              <w:left w:w="45" w:type="dxa"/>
              <w:right w:w="45" w:type="dxa"/>
            </w:tcMar>
            <w:vAlign w:val="center"/>
          </w:tcPr>
          <w:p>
            <w:pPr>
              <w:widowControl/>
              <w:spacing w:line="300" w:lineRule="exact"/>
              <w:rPr>
                <w:kern w:val="0"/>
                <w:szCs w:val="21"/>
              </w:rPr>
            </w:pPr>
            <w:r>
              <w:rPr>
                <w:szCs w:val="21"/>
              </w:rPr>
              <w:t>建立进出库台账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台账</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8.9</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其它化学安全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8.9.1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8.9.2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信息</w:t>
            </w:r>
            <w:r>
              <w:rPr>
                <w:bCs/>
                <w:kern w:val="0"/>
                <w:szCs w:val="21"/>
              </w:rPr>
              <w:t>不缺项</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8.9.3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盛放配置试剂、合成品等的烧杯、烧瓶不得无盖放置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8.9.4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8.9.5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原标签纸未撕去的空试剂瓶中不存放其它化学品（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r>
              <w:rPr>
                <w:bCs/>
                <w:kern w:val="0"/>
                <w:szCs w:val="21"/>
              </w:rPr>
              <w:t>装其它试剂</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8.9.6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用于浸泡玻璃器皿的酸缸、碱缸等有盖子盖上</w:t>
            </w:r>
            <w:r>
              <w:rPr>
                <w:rFonts w:hint="eastAsia"/>
                <w:kern w:val="0"/>
                <w:szCs w:val="21"/>
              </w:rPr>
              <w:t>、</w:t>
            </w:r>
            <w:r>
              <w:rPr>
                <w:kern w:val="0"/>
                <w:szCs w:val="21"/>
              </w:rPr>
              <w:t>标签明确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8.9.7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不使用破损量筒、试管等玻璃器皿</w:t>
            </w:r>
          </w:p>
        </w:tc>
        <w:tc>
          <w:tcPr>
            <w:tcW w:w="3260" w:type="dxa"/>
            <w:shd w:val="clear" w:color="auto" w:fill="auto"/>
            <w:tcMar>
              <w:left w:w="45" w:type="dxa"/>
              <w:right w:w="45" w:type="dxa"/>
            </w:tcMar>
            <w:vAlign w:val="center"/>
          </w:tcPr>
          <w:p>
            <w:pPr>
              <w:widowControl/>
              <w:spacing w:line="300" w:lineRule="exact"/>
              <w:jc w:val="left"/>
              <w:rPr>
                <w:bCs/>
                <w:kern w:val="0"/>
                <w:szCs w:val="21"/>
              </w:rPr>
            </w:pP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8.9.8</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化学</w:t>
            </w:r>
            <w:r>
              <w:rPr>
                <w:szCs w:val="21"/>
              </w:rPr>
              <w:t>实验室内有吸液（油）棉/条带</w:t>
            </w:r>
            <w:r>
              <w:rPr>
                <w:rFonts w:hint="eastAsia"/>
                <w:szCs w:val="21"/>
              </w:rPr>
              <w:t>、</w:t>
            </w:r>
            <w:r>
              <w:rPr>
                <w:szCs w:val="21"/>
              </w:rPr>
              <w:t>液体泄漏吸附剂等</w:t>
            </w:r>
          </w:p>
        </w:tc>
        <w:tc>
          <w:tcPr>
            <w:tcW w:w="3260" w:type="dxa"/>
            <w:shd w:val="clear" w:color="auto" w:fill="auto"/>
            <w:tcMar>
              <w:left w:w="45" w:type="dxa"/>
              <w:right w:w="45" w:type="dxa"/>
            </w:tcMar>
            <w:vAlign w:val="center"/>
          </w:tcPr>
          <w:p>
            <w:pPr>
              <w:widowControl/>
              <w:spacing w:line="300" w:lineRule="exact"/>
              <w:jc w:val="left"/>
              <w:rPr>
                <w:bCs/>
                <w:kern w:val="0"/>
                <w:szCs w:val="21"/>
              </w:rPr>
            </w:pP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9</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9.1</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9.1.1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资质。其中</w:t>
            </w:r>
            <w:r>
              <w:rPr>
                <w:kern w:val="0"/>
                <w:szCs w:val="21"/>
              </w:rPr>
              <w:t>BSL-3/ABSL-3、BSL-4/ABSL-4实验室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查看资格证书、</w:t>
            </w:r>
            <w:r>
              <w:rPr>
                <w:bCs/>
                <w:kern w:val="0"/>
                <w:szCs w:val="21"/>
              </w:rPr>
              <w:t>报备资料</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9.1.2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开展病原微生物实验须向卫生或农业主管部门申报备案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9.1.3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开展未经灭活的高致病性病原微生物（列入一类、二类）相关实验和研究，必须在BSL-3/ABSL-3、BSL-4/ABSL-4实验室中进行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查看实验</w:t>
            </w:r>
            <w:r>
              <w:rPr>
                <w:bCs/>
                <w:kern w:val="0"/>
                <w:szCs w:val="21"/>
              </w:rPr>
              <w:t>记录</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9.1.4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开展低致病性病原微生物（列入三类、四类），或经灭活的高致病性感染性材料的相关实验和研究，必须在BSL-1/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查看实验</w:t>
            </w:r>
            <w:r>
              <w:rPr>
                <w:bCs/>
                <w:kern w:val="0"/>
                <w:szCs w:val="21"/>
              </w:rPr>
              <w:t>记录</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hint="eastAsia" w:eastAsia="黑体"/>
                <w:kern w:val="0"/>
                <w:szCs w:val="21"/>
              </w:rPr>
              <w:t>9.1.5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严格按照国家法律法规和学校相关规定开展转基因、人类遗传资源的相关研究</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查看资料</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9.2</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9.2.1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 xml:space="preserve">正常 </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现场及资料</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9.2.2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BSL-2/ABSL-2及以上安全等级实验室须</w:t>
            </w:r>
            <w:r>
              <w:rPr>
                <w:rFonts w:hint="eastAsia"/>
                <w:kern w:val="0"/>
                <w:szCs w:val="21"/>
              </w:rPr>
              <w:t>设</w:t>
            </w:r>
            <w:r>
              <w:rPr>
                <w:kern w:val="0"/>
                <w:szCs w:val="21"/>
              </w:rPr>
              <w:t>门禁管理和准入制度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准入</w:t>
            </w:r>
            <w:r>
              <w:rPr>
                <w:bCs/>
                <w:kern w:val="0"/>
                <w:szCs w:val="21"/>
              </w:rPr>
              <w:t>制度上</w:t>
            </w:r>
            <w:r>
              <w:rPr>
                <w:rFonts w:hint="eastAsia"/>
                <w:bCs/>
                <w:kern w:val="0"/>
                <w:szCs w:val="21"/>
              </w:rPr>
              <w:t>墙</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9.2.3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9.2.4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配有符合相应</w:t>
            </w:r>
            <w:r>
              <w:rPr>
                <w:rFonts w:hint="eastAsia"/>
                <w:kern w:val="0"/>
                <w:szCs w:val="21"/>
              </w:rPr>
              <w:t>要求</w:t>
            </w:r>
            <w:r>
              <w:rPr>
                <w:kern w:val="0"/>
                <w:szCs w:val="21"/>
              </w:rPr>
              <w:t>的</w:t>
            </w:r>
            <w:r>
              <w:rPr>
                <w:rFonts w:hint="eastAsia"/>
                <w:kern w:val="0"/>
                <w:szCs w:val="21"/>
              </w:rPr>
              <w:t>II级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查看种类</w:t>
            </w:r>
            <w:r>
              <w:rPr>
                <w:bCs/>
                <w:kern w:val="0"/>
                <w:szCs w:val="21"/>
              </w:rPr>
              <w:t>、记录</w:t>
            </w:r>
            <w:r>
              <w:rPr>
                <w:rFonts w:hint="eastAsia"/>
                <w:bCs/>
                <w:kern w:val="0"/>
                <w:szCs w:val="21"/>
              </w:rPr>
              <w:t xml:space="preserve"> </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9.2.5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9.2.6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三级/四级实验室配备应急供电及应急淋浴设施</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9.2.7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9.2.8</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安装了防虫纱窗、入口处有挡鼠板</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9.3</w:t>
            </w:r>
          </w:p>
        </w:tc>
        <w:tc>
          <w:tcPr>
            <w:tcW w:w="13524"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9.3.1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采购高致病性病原微生物菌</w:t>
            </w:r>
            <w:r>
              <w:rPr>
                <w:rFonts w:hint="eastAsia"/>
                <w:kern w:val="0"/>
                <w:szCs w:val="21"/>
              </w:rPr>
              <w:t>（毒）种，须按照学校流程</w:t>
            </w:r>
            <w:r>
              <w:rPr>
                <w:kern w:val="0"/>
                <w:szCs w:val="21"/>
              </w:rPr>
              <w:t>审批，报行业主管部门批准</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有相关规定、查记录</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9.3.2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记录</w:t>
            </w:r>
            <w:r>
              <w:rPr>
                <w:rFonts w:hint="eastAsia"/>
                <w:kern w:val="0"/>
                <w:szCs w:val="21"/>
              </w:rPr>
              <w:t>、</w:t>
            </w:r>
            <w:r>
              <w:rPr>
                <w:kern w:val="0"/>
                <w:szCs w:val="21"/>
              </w:rPr>
              <w:t>查</w:t>
            </w:r>
            <w:r>
              <w:rPr>
                <w:rFonts w:hint="eastAsia"/>
                <w:kern w:val="0"/>
                <w:szCs w:val="21"/>
              </w:rPr>
              <w:t>实物</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9.3.3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高致病性病原微生物的转移和运输需按规定报卫生和农业主管部门批准，并按相应的运输包装要求包装后转移和运输</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资料</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9.3.4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9.3.5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有病原微生物菌</w:t>
            </w:r>
            <w:r>
              <w:rPr>
                <w:rFonts w:hint="eastAsia"/>
                <w:kern w:val="0"/>
                <w:szCs w:val="21"/>
              </w:rPr>
              <w:t>（毒）种</w:t>
            </w:r>
            <w:r>
              <w:rPr>
                <w:kern w:val="0"/>
                <w:szCs w:val="21"/>
              </w:rPr>
              <w:t>保存、实验使用、销毁的记录</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记录</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9.3.6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自行分离高致病性病原微生物，</w:t>
            </w:r>
            <w:r>
              <w:rPr>
                <w:rFonts w:hint="eastAsia"/>
                <w:kern w:val="0"/>
                <w:szCs w:val="21"/>
              </w:rPr>
              <w:t>必须在</w:t>
            </w:r>
            <w:r>
              <w:rPr>
                <w:kern w:val="0"/>
                <w:szCs w:val="21"/>
              </w:rPr>
              <w:t>相应安全等级的实验室</w:t>
            </w:r>
            <w:r>
              <w:rPr>
                <w:rFonts w:hint="eastAsia"/>
                <w:kern w:val="0"/>
                <w:szCs w:val="21"/>
              </w:rPr>
              <w:t>中</w:t>
            </w:r>
            <w:r>
              <w:rPr>
                <w:kern w:val="0"/>
                <w:szCs w:val="21"/>
              </w:rPr>
              <w:t>进行</w:t>
            </w:r>
            <w:r>
              <w:rPr>
                <w:rFonts w:hint="eastAsia"/>
                <w:kern w:val="0"/>
                <w:szCs w:val="21"/>
              </w:rPr>
              <w:t>，并</w:t>
            </w:r>
            <w:r>
              <w:rPr>
                <w:kern w:val="0"/>
                <w:szCs w:val="21"/>
              </w:rPr>
              <w:t>报卫生或农业主管部门批准，方可保</w:t>
            </w:r>
            <w:r>
              <w:rPr>
                <w:rFonts w:hint="eastAsia"/>
                <w:kern w:val="0"/>
                <w:szCs w:val="21"/>
              </w:rPr>
              <w:t>存和开展</w:t>
            </w:r>
            <w:r>
              <w:rPr>
                <w:kern w:val="0"/>
                <w:szCs w:val="21"/>
              </w:rPr>
              <w:t>实验，资料报学校备案</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现场、</w:t>
            </w:r>
            <w:r>
              <w:rPr>
                <w:rFonts w:hint="eastAsia"/>
                <w:kern w:val="0"/>
                <w:szCs w:val="21"/>
              </w:rPr>
              <w:t>查</w:t>
            </w:r>
            <w:r>
              <w:rPr>
                <w:kern w:val="0"/>
                <w:szCs w:val="21"/>
              </w:rPr>
              <w:t>资料</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9.4</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人员</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9.4.1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开展病原微生物相关实验和研究的人员经过专业培训，考核合格</w:t>
            </w:r>
            <w:r>
              <w:rPr>
                <w:rFonts w:hint="eastAsia"/>
                <w:kern w:val="0"/>
                <w:szCs w:val="21"/>
              </w:rPr>
              <w:t>，</w:t>
            </w:r>
            <w:r>
              <w:rPr>
                <w:kern w:val="0"/>
                <w:szCs w:val="21"/>
              </w:rPr>
              <w:t>并取得</w:t>
            </w:r>
            <w:r>
              <w:rPr>
                <w:rFonts w:hint="eastAsia"/>
                <w:kern w:val="0"/>
                <w:szCs w:val="21"/>
              </w:rPr>
              <w:t>证书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检查存档资料</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9.4.2</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有上岗前体检和离岗体检，长期工作有定期体检</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9.4.3</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人员</w:t>
            </w:r>
            <w:r>
              <w:rPr>
                <w:szCs w:val="21"/>
              </w:rPr>
              <w:t>进出生物安全实验室，需登记</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记录本</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9.4.4</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9.4.5</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出现感冒</w:t>
            </w:r>
            <w:r>
              <w:rPr>
                <w:szCs w:val="21"/>
              </w:rPr>
              <w:t>发热</w:t>
            </w:r>
            <w:r>
              <w:rPr>
                <w:rFonts w:hint="eastAsia"/>
                <w:szCs w:val="21"/>
              </w:rPr>
              <w:t>等</w:t>
            </w:r>
            <w:r>
              <w:rPr>
                <w:szCs w:val="21"/>
              </w:rPr>
              <w:t>症状时，不得进行病原微生物实验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检查、询问学生</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9.4.6</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生物</w:t>
            </w:r>
            <w:r>
              <w:rPr>
                <w:szCs w:val="21"/>
              </w:rPr>
              <w:t>安全实验室不准带入食品、饮品（</w:t>
            </w:r>
            <w:r>
              <w:rPr>
                <w:rFonts w:hint="eastAsia"/>
                <w:szCs w:val="21"/>
              </w:rPr>
              <w:t>水</w:t>
            </w:r>
            <w:r>
              <w:rPr>
                <w:szCs w:val="21"/>
              </w:rPr>
              <w:t>）</w:t>
            </w:r>
            <w:r>
              <w:rPr>
                <w:rFonts w:hint="eastAsia"/>
                <w:szCs w:val="21"/>
              </w:rPr>
              <w:t>、</w:t>
            </w:r>
            <w:r>
              <w:rPr>
                <w:szCs w:val="21"/>
              </w:rPr>
              <w:t>化妆品、处理隐形眼镜</w:t>
            </w:r>
            <w:r>
              <w:rPr>
                <w:rFonts w:hint="eastAsia"/>
                <w:szCs w:val="21"/>
              </w:rPr>
              <w:t>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9.5</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9.5.1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制定并采用生物安全手册，方便</w:t>
            </w:r>
            <w:r>
              <w:rPr>
                <w:kern w:val="0"/>
                <w:szCs w:val="21"/>
              </w:rPr>
              <w:t>取阅；</w:t>
            </w:r>
            <w:r>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9.5.2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BSL-2 /ABSL-2及以上等级实验室，开展病原微生物的相关实验活动应有风险评估和应急预案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9.5.3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9.5.4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查看现场、询问</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9.5.5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有开展病原微生物相关实验活动的记录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9.5.6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w:t>
            </w:r>
            <w:r>
              <w:rPr>
                <w:rFonts w:hint="eastAsia"/>
                <w:kern w:val="0"/>
                <w:szCs w:val="21"/>
              </w:rPr>
              <w:t>合适</w:t>
            </w:r>
            <w:r>
              <w:rPr>
                <w:kern w:val="0"/>
                <w:szCs w:val="21"/>
              </w:rPr>
              <w:t>的个人防护措施</w:t>
            </w:r>
            <w:r>
              <w:rPr>
                <w:rFonts w:hint="eastAsia"/>
                <w:kern w:val="0"/>
                <w:szCs w:val="21"/>
              </w:rPr>
              <w:t>，</w:t>
            </w:r>
            <w:r>
              <w:rPr>
                <w:kern w:val="0"/>
                <w:szCs w:val="21"/>
              </w:rPr>
              <w:t>并规范执行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9.5.7</w:t>
            </w:r>
          </w:p>
        </w:tc>
        <w:tc>
          <w:tcPr>
            <w:tcW w:w="5810" w:type="dxa"/>
            <w:shd w:val="clear" w:color="auto" w:fill="auto"/>
            <w:tcMar>
              <w:left w:w="45" w:type="dxa"/>
              <w:right w:w="45" w:type="dxa"/>
            </w:tcMar>
            <w:vAlign w:val="center"/>
          </w:tcPr>
          <w:p>
            <w:pPr>
              <w:widowControl/>
              <w:spacing w:line="300" w:lineRule="exact"/>
              <w:jc w:val="left"/>
              <w:rPr>
                <w:kern w:val="0"/>
                <w:szCs w:val="21"/>
              </w:rPr>
            </w:pPr>
            <w:r>
              <w:rPr>
                <w:szCs w:val="21"/>
              </w:rPr>
              <w:t>禁止戴防护手套操作设施设备（包括仪器、冰箱、电脑、电话、开关、门窗</w:t>
            </w:r>
            <w:r>
              <w:rPr>
                <w:rFonts w:hint="eastAsia"/>
                <w:szCs w:val="21"/>
              </w:rPr>
              <w:t>、</w:t>
            </w:r>
            <w:r>
              <w:rPr>
                <w:szCs w:val="21"/>
              </w:rPr>
              <w:t>柜子抽屉等）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现场，办公室</w:t>
            </w:r>
            <w:r>
              <w:rPr>
                <w:rFonts w:hint="eastAsia"/>
                <w:bCs/>
                <w:kern w:val="0"/>
                <w:szCs w:val="21"/>
              </w:rPr>
              <w:t>等</w:t>
            </w:r>
            <w:r>
              <w:rPr>
                <w:bCs/>
                <w:kern w:val="0"/>
                <w:szCs w:val="21"/>
              </w:rPr>
              <w:t>区域不准带防护手套</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9.5.8</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做危险性</w:t>
            </w:r>
            <w:r>
              <w:rPr>
                <w:szCs w:val="21"/>
              </w:rPr>
              <w:t>生物实验</w:t>
            </w:r>
            <w:r>
              <w:rPr>
                <w:rFonts w:hint="eastAsia"/>
                <w:szCs w:val="21"/>
              </w:rPr>
              <w:t>时</w:t>
            </w:r>
            <w:r>
              <w:rPr>
                <w:szCs w:val="21"/>
              </w:rPr>
              <w:t>，不接打电话</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9.6</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9.6.1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饲养实验动物的场所应有资质证书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证书</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9.6.2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实验动物需从具有资质的单位购买，有合格证明</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9.6.3</w:t>
            </w:r>
          </w:p>
        </w:tc>
        <w:tc>
          <w:tcPr>
            <w:tcW w:w="5810" w:type="dxa"/>
            <w:shd w:val="clear" w:color="auto" w:fill="auto"/>
            <w:tcMar>
              <w:left w:w="45" w:type="dxa"/>
              <w:right w:w="45" w:type="dxa"/>
            </w:tcMar>
            <w:vAlign w:val="center"/>
          </w:tcPr>
          <w:p>
            <w:pPr>
              <w:widowControl/>
              <w:spacing w:line="300" w:lineRule="exact"/>
              <w:jc w:val="left"/>
              <w:rPr>
                <w:szCs w:val="21"/>
              </w:rPr>
            </w:pPr>
            <w:r>
              <w:rPr>
                <w:szCs w:val="21"/>
              </w:rPr>
              <w:t>用于解剖的实验动物须经过检验检疫合格</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查看采购检验</w:t>
            </w:r>
            <w:r>
              <w:rPr>
                <w:bCs/>
                <w:kern w:val="0"/>
                <w:szCs w:val="21"/>
              </w:rPr>
              <w:t>记录</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9.6.4</w:t>
            </w:r>
          </w:p>
        </w:tc>
        <w:tc>
          <w:tcPr>
            <w:tcW w:w="5810" w:type="dxa"/>
            <w:shd w:val="clear" w:color="auto" w:fill="auto"/>
            <w:tcMar>
              <w:left w:w="45" w:type="dxa"/>
              <w:right w:w="45" w:type="dxa"/>
            </w:tcMar>
            <w:vAlign w:val="center"/>
          </w:tcPr>
          <w:p>
            <w:pPr>
              <w:widowControl/>
              <w:spacing w:line="300" w:lineRule="exact"/>
              <w:jc w:val="left"/>
              <w:rPr>
                <w:szCs w:val="21"/>
              </w:rPr>
            </w:pPr>
            <w:r>
              <w:rPr>
                <w:szCs w:val="21"/>
              </w:rPr>
              <w:t>解剖实验动物时，必须做好个人</w:t>
            </w:r>
            <w:r>
              <w:rPr>
                <w:rFonts w:hint="eastAsia"/>
                <w:szCs w:val="21"/>
              </w:rPr>
              <w:t>安全</w:t>
            </w:r>
            <w:r>
              <w:rPr>
                <w:szCs w:val="21"/>
              </w:rPr>
              <w:t>防护</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9.6.5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动物实验结束后，</w:t>
            </w:r>
            <w:r>
              <w:rPr>
                <w:rFonts w:hint="eastAsia"/>
                <w:kern w:val="0"/>
                <w:szCs w:val="21"/>
              </w:rPr>
              <w:t>经</w:t>
            </w:r>
            <w:r>
              <w:rPr>
                <w:kern w:val="0"/>
                <w:szCs w:val="21"/>
              </w:rPr>
              <w:t>必要的灭菌、灭</w:t>
            </w:r>
            <w:r>
              <w:rPr>
                <w:rFonts w:hint="eastAsia"/>
                <w:kern w:val="0"/>
                <w:szCs w:val="21"/>
              </w:rPr>
              <w:t>活</w:t>
            </w:r>
            <w:r>
              <w:rPr>
                <w:kern w:val="0"/>
                <w:szCs w:val="21"/>
              </w:rPr>
              <w:t>处理，送学校中转站或收集点</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9.6.6</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kern w:val="0"/>
                <w:szCs w:val="21"/>
              </w:rPr>
              <w:t>成立</w:t>
            </w:r>
            <w:r>
              <w:rPr>
                <w:kern w:val="0"/>
                <w:szCs w:val="21"/>
              </w:rPr>
              <w:t>实验动物</w:t>
            </w:r>
            <w:r>
              <w:rPr>
                <w:rFonts w:hint="eastAsia"/>
                <w:kern w:val="0"/>
                <w:szCs w:val="21"/>
              </w:rPr>
              <w:t>伦理</w:t>
            </w:r>
            <w:r>
              <w:rPr>
                <w:kern w:val="0"/>
                <w:szCs w:val="21"/>
              </w:rPr>
              <w:t>委员会</w:t>
            </w:r>
            <w:r>
              <w:rPr>
                <w:rFonts w:hint="eastAsia"/>
                <w:kern w:val="0"/>
                <w:szCs w:val="21"/>
              </w:rPr>
              <w:t>，</w:t>
            </w:r>
            <w:r>
              <w:rPr>
                <w:kern w:val="0"/>
                <w:szCs w:val="21"/>
              </w:rPr>
              <w:t>保障动物权益</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文件</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9.7</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9.7.1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合同、记录</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9.7.2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学校有生化固废中转站，符合相关规定</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9.7.3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有无统一标签，使用</w:t>
            </w:r>
            <w:r>
              <w:rPr>
                <w:rFonts w:hint="eastAsia"/>
                <w:bCs/>
                <w:kern w:val="0"/>
                <w:szCs w:val="21"/>
              </w:rPr>
              <w:t>时填写</w:t>
            </w:r>
            <w:r>
              <w:rPr>
                <w:bCs/>
                <w:kern w:val="0"/>
                <w:szCs w:val="21"/>
              </w:rPr>
              <w:t>信息完整</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9.7.4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配备了生化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刀片、移液枪头等尖锐物应使用耐扎的利器盒</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现场</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9.7.5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涉及病原微生物的实验废弃物必须进行</w:t>
            </w:r>
            <w:r>
              <w:rPr>
                <w:rFonts w:hint="eastAsia"/>
                <w:kern w:val="0"/>
                <w:szCs w:val="21"/>
              </w:rPr>
              <w:t>高温</w:t>
            </w:r>
            <w:r>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9.7.6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/现场</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9.7.7</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/现场</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10</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辐射安全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10.1</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实验室资质与人员要求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10.1.1</w:t>
            </w:r>
          </w:p>
        </w:tc>
        <w:tc>
          <w:tcPr>
            <w:tcW w:w="5810" w:type="dxa"/>
            <w:shd w:val="clear" w:color="auto" w:fill="auto"/>
            <w:tcMar>
              <w:left w:w="45" w:type="dxa"/>
              <w:right w:w="45" w:type="dxa"/>
            </w:tcMar>
            <w:vAlign w:val="center"/>
          </w:tcPr>
          <w:p>
            <w:pPr>
              <w:widowControl/>
              <w:spacing w:line="300" w:lineRule="exact"/>
              <w:rPr>
                <w:b/>
                <w:kern w:val="0"/>
                <w:szCs w:val="21"/>
              </w:rPr>
            </w:pPr>
            <w:r>
              <w:rPr>
                <w:rFonts w:hint="eastAsia"/>
                <w:szCs w:val="21"/>
              </w:rPr>
              <w:t>涉源</w:t>
            </w:r>
            <w:r>
              <w:rPr>
                <w:bCs/>
                <w:kern w:val="0"/>
                <w:szCs w:val="21"/>
              </w:rPr>
              <w:t>学校</w:t>
            </w:r>
            <w:r>
              <w:rPr>
                <w:rFonts w:hint="eastAsia"/>
                <w:bCs/>
                <w:kern w:val="0"/>
                <w:szCs w:val="21"/>
              </w:rPr>
              <w:t>须</w:t>
            </w:r>
            <w:r>
              <w:rPr>
                <w:kern w:val="0"/>
                <w:szCs w:val="21"/>
              </w:rPr>
              <w:t>取得“辐射安全许可证”，并按规定在放射性核素种类和用量</w:t>
            </w:r>
            <w:r>
              <w:rPr>
                <w:rFonts w:hint="eastAsia"/>
                <w:kern w:val="0"/>
                <w:szCs w:val="21"/>
              </w:rPr>
              <w:t>以及</w:t>
            </w:r>
            <w:r>
              <w:rPr>
                <w:kern w:val="0"/>
                <w:szCs w:val="21"/>
              </w:rPr>
              <w:t>射线种类许可范围内开展实验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10.1.2</w:t>
            </w:r>
          </w:p>
        </w:tc>
        <w:tc>
          <w:tcPr>
            <w:tcW w:w="5810" w:type="dxa"/>
            <w:shd w:val="clear" w:color="auto" w:fill="auto"/>
            <w:tcMar>
              <w:left w:w="45" w:type="dxa"/>
              <w:right w:w="45" w:type="dxa"/>
            </w:tcMar>
            <w:vAlign w:val="center"/>
          </w:tcPr>
          <w:p>
            <w:pPr>
              <w:widowControl/>
              <w:spacing w:line="300" w:lineRule="exact"/>
              <w:rPr>
                <w:bCs/>
                <w:kern w:val="0"/>
                <w:szCs w:val="21"/>
              </w:rPr>
            </w:pPr>
            <w:r>
              <w:rPr>
                <w:rFonts w:hint="eastAsia"/>
                <w:bCs/>
                <w:kern w:val="0"/>
                <w:szCs w:val="21"/>
              </w:rPr>
              <w:t>X射线类</w:t>
            </w:r>
            <w:r>
              <w:rPr>
                <w:bCs/>
                <w:kern w:val="0"/>
                <w:szCs w:val="21"/>
              </w:rPr>
              <w:t>衍射仪</w:t>
            </w:r>
            <w:r>
              <w:rPr>
                <w:rFonts w:hint="eastAsia"/>
                <w:bCs/>
                <w:kern w:val="0"/>
                <w:szCs w:val="21"/>
              </w:rPr>
              <w:t>等3类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10.1.3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人员经过了专门培训，有《辐射安全与防护培训合格证书》</w:t>
            </w:r>
            <w:r>
              <w:rPr>
                <w:rFonts w:hint="eastAsia"/>
                <w:kern w:val="0"/>
                <w:szCs w:val="21"/>
              </w:rPr>
              <w:t>（4年</w:t>
            </w:r>
            <w:r>
              <w:rPr>
                <w:kern w:val="0"/>
                <w:szCs w:val="21"/>
              </w:rPr>
              <w:t>复训</w:t>
            </w:r>
            <w:r>
              <w:rPr>
                <w:rFonts w:hint="eastAsia"/>
                <w:kern w:val="0"/>
                <w:szCs w:val="21"/>
              </w:rPr>
              <w:t>1次）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查看培训证书</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10.1.4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（2年</w:t>
            </w:r>
            <w:r>
              <w:rPr>
                <w:kern w:val="0"/>
                <w:szCs w:val="21"/>
              </w:rPr>
              <w:t>1次</w:t>
            </w:r>
            <w:r>
              <w:rPr>
                <w:rFonts w:hint="eastAsia"/>
                <w:kern w:val="0"/>
                <w:szCs w:val="21"/>
              </w:rPr>
              <w:t>），有健康档案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体检报告</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10.1.5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有资质单位按时进行剂量检测（3个月一次），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10.2</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10.2.1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辐照设施设备</w:t>
            </w:r>
            <w:r>
              <w:rPr>
                <w:rFonts w:hint="eastAsia"/>
                <w:kern w:val="0"/>
                <w:szCs w:val="21"/>
              </w:rPr>
              <w:t>和2类</w:t>
            </w:r>
            <w:r>
              <w:rPr>
                <w:kern w:val="0"/>
                <w:szCs w:val="21"/>
              </w:rPr>
              <w:t>以上射线装置具有能正常工作的安全连锁装置</w:t>
            </w:r>
            <w:r>
              <w:rPr>
                <w:rFonts w:hint="eastAsia"/>
                <w:kern w:val="0"/>
                <w:szCs w:val="21"/>
              </w:rPr>
              <w:t>和</w:t>
            </w:r>
            <w:r>
              <w:rPr>
                <w:kern w:val="0"/>
                <w:szCs w:val="21"/>
              </w:rPr>
              <w:t>报警装置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10.2.2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10.2.3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实验场所（放射性物质、X射线装置）有</w:t>
            </w:r>
            <w:r>
              <w:rPr>
                <w:rFonts w:hint="eastAsia"/>
                <w:kern w:val="0"/>
                <w:szCs w:val="21"/>
              </w:rPr>
              <w:t>明显的</w:t>
            </w:r>
            <w:r>
              <w:rPr>
                <w:kern w:val="0"/>
                <w:szCs w:val="21"/>
              </w:rPr>
              <w:t>安全警示标识、警戒线和剂量报警仪</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10.2.4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10.2.5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有专门存放放射性废弃物的容器和暂存库</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有准确的台帐</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10.2.6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非密封性放射性实验室有衰减池，</w:t>
            </w:r>
            <w:r>
              <w:rPr>
                <w:szCs w:val="21"/>
              </w:rPr>
              <w:t>或者有非密封性专门回收处置场所</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查看现场</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10.3</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采购、转让转移与运输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10.3.1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10.3.2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10.3.3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以及3类</w:t>
            </w:r>
            <w:r>
              <w:rPr>
                <w:kern w:val="0"/>
                <w:szCs w:val="21"/>
              </w:rPr>
              <w:t>以上射线装置变更及时登记</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台账</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10.4</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放射性实验安全操作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10.4.1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Г辐照装置有符合国家相关规定的操作规程、安保方案及应急预案，并遵照执行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10.4.2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10.4.3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10.4.4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10.4.5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5类</w:t>
            </w:r>
            <w:r>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10.5</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放射性实验</w:t>
            </w:r>
            <w:r>
              <w:rPr>
                <w:rFonts w:hint="eastAsia"/>
                <w:b/>
                <w:kern w:val="0"/>
                <w:szCs w:val="21"/>
              </w:rPr>
              <w:t>废弃</w:t>
            </w:r>
            <w:r>
              <w:rPr>
                <w:b/>
                <w:kern w:val="0"/>
                <w:szCs w:val="21"/>
              </w:rPr>
              <w:t>物的处置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10.5.1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X光管</w:t>
            </w:r>
            <w:r>
              <w:rPr>
                <w:bCs/>
                <w:kern w:val="0"/>
                <w:szCs w:val="21"/>
              </w:rPr>
              <w:t>报废时应敲碎</w:t>
            </w:r>
            <w:r>
              <w:rPr>
                <w:rFonts w:hint="eastAsia"/>
                <w:bCs/>
                <w:kern w:val="0"/>
                <w:szCs w:val="21"/>
              </w:rPr>
              <w:t>，</w:t>
            </w:r>
            <w:r>
              <w:rPr>
                <w:bCs/>
                <w:kern w:val="0"/>
                <w:szCs w:val="21"/>
              </w:rPr>
              <w:t>拍照留存</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存档资料</w:t>
            </w:r>
            <w:r>
              <w:rPr>
                <w:rFonts w:hint="eastAsia"/>
                <w:bCs/>
                <w:kern w:val="0"/>
                <w:szCs w:val="21"/>
              </w:rPr>
              <w:t xml:space="preserve"> </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10.5.2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中、长半衰期核素固液废弃物有符合国家相关规定的处置方案或回收协议，并有处置记录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10.5.3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短半衰期核素固液废弃物放置10个半衰期经检测达标后作为普通废物处理，并有处置记录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10.5.4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涉源</w:t>
            </w:r>
            <w:r>
              <w:rPr>
                <w:kern w:val="0"/>
                <w:szCs w:val="21"/>
              </w:rPr>
              <w:t>实验场所退役，须按国家相关规定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11</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机电等</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11.1</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仪器设备</w:t>
            </w:r>
            <w:r>
              <w:rPr>
                <w:b/>
                <w:kern w:val="0"/>
                <w:szCs w:val="21"/>
              </w:rPr>
              <w:t>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11.1.1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3260" w:type="dxa"/>
            <w:shd w:val="clear" w:color="auto" w:fill="auto"/>
            <w:tcMar>
              <w:left w:w="45" w:type="dxa"/>
              <w:right w:w="45" w:type="dxa"/>
            </w:tcMar>
            <w:vAlign w:val="center"/>
          </w:tcPr>
          <w:p>
            <w:pPr>
              <w:widowControl/>
              <w:spacing w:line="300" w:lineRule="exact"/>
              <w:jc w:val="left"/>
              <w:rPr>
                <w:b/>
                <w:bCs/>
                <w:kern w:val="0"/>
                <w:szCs w:val="21"/>
              </w:rPr>
            </w:pPr>
            <w:r>
              <w:rPr>
                <w:rFonts w:hint="eastAsia"/>
                <w:kern w:val="0"/>
                <w:szCs w:val="21"/>
              </w:rPr>
              <w:t>查看电子或纸质台帐</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11.1.2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查看电源配电箱、地线</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11.1.3</w:t>
            </w:r>
          </w:p>
        </w:tc>
        <w:tc>
          <w:tcPr>
            <w:tcW w:w="5810" w:type="dxa"/>
            <w:shd w:val="clear" w:color="auto" w:fill="auto"/>
            <w:tcMar>
              <w:left w:w="45" w:type="dxa"/>
              <w:right w:w="45" w:type="dxa"/>
            </w:tcMar>
            <w:vAlign w:val="center"/>
          </w:tcPr>
          <w:p>
            <w:pPr>
              <w:spacing w:line="300" w:lineRule="exact"/>
              <w:rPr>
                <w:szCs w:val="21"/>
              </w:rPr>
            </w:pPr>
            <w:r>
              <w:rPr>
                <w:rFonts w:hint="eastAsia"/>
                <w:szCs w:val="21"/>
              </w:rPr>
              <w:t>仪器设备接地系统应按规范要求，采用铜质材料，且设计寿命不应低于50年</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szCs w:val="21"/>
              </w:rPr>
              <w:t>接地电阻不高于0.5欧</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kern w:val="0"/>
                <w:szCs w:val="21"/>
              </w:rPr>
              <w:t>11.1.4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查看记录及维修、维护周期</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kern w:val="0"/>
                <w:szCs w:val="21"/>
              </w:rPr>
              <w:t>11.1.5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检查相关规定</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kern w:val="0"/>
                <w:szCs w:val="21"/>
              </w:rPr>
              <w:t>11.1.6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有手册或规范明示牌</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11.1.7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昼夜工作的设备要有实时监控设施</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11.1.8</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对于高温、高压、高速运动、电磁辐射等特殊设备，对使用者有培训要求，有安全警示标识和</w:t>
            </w:r>
            <w:r>
              <w:rPr>
                <w:szCs w:val="21"/>
              </w:rPr>
              <w:t>安全警示线（黄色）</w:t>
            </w:r>
            <w:r>
              <w:rPr>
                <w:kern w:val="0"/>
                <w:szCs w:val="21"/>
              </w:rPr>
              <w:t>，并配备相应安全防护设施</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检查培训记录、</w:t>
            </w:r>
            <w:r>
              <w:rPr>
                <w:kern w:val="0"/>
                <w:szCs w:val="21"/>
              </w:rPr>
              <w:t>防护罩、防护栏、自屏蔽设施等</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11.1.9</w:t>
            </w:r>
          </w:p>
        </w:tc>
        <w:tc>
          <w:tcPr>
            <w:tcW w:w="5810" w:type="dxa"/>
            <w:shd w:val="clear" w:color="auto" w:fill="auto"/>
            <w:tcMar>
              <w:left w:w="45" w:type="dxa"/>
              <w:right w:w="45" w:type="dxa"/>
            </w:tcMar>
            <w:vAlign w:val="center"/>
          </w:tcPr>
          <w:p>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检查是否有安全空间</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11.1.10</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电子天平不放在阳光直射的地方，且用后及时清理</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检查避光、遮光</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11.1.11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自研自制设备时，须充分考虑安全系数，并有安全防护措施</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查看现场、资料</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11.2</w:t>
            </w:r>
          </w:p>
        </w:tc>
        <w:tc>
          <w:tcPr>
            <w:tcW w:w="13524" w:type="dxa"/>
            <w:gridSpan w:val="6"/>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机械</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11.2.1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高速切削机械操作，工作前穿好工作服，戴好防护眼镜，衣袖口应扣紧，长发学生戴好工作帽。工作场所禁戴手套、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检查操作提示、防护配置；有人操作时检查执行情况</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11.2.2</w:t>
            </w:r>
          </w:p>
        </w:tc>
        <w:tc>
          <w:tcPr>
            <w:tcW w:w="5810" w:type="dxa"/>
            <w:shd w:val="clear" w:color="auto" w:fill="auto"/>
            <w:tcMar>
              <w:left w:w="45" w:type="dxa"/>
              <w:right w:w="45" w:type="dxa"/>
            </w:tcMar>
            <w:vAlign w:val="center"/>
          </w:tcPr>
          <w:p>
            <w:pPr>
              <w:widowControl/>
              <w:spacing w:line="300" w:lineRule="exact"/>
              <w:jc w:val="left"/>
              <w:rPr>
                <w:rFonts w:ascii="宋体" w:hAnsi="宋体" w:cs="宋体"/>
                <w:kern w:val="0"/>
                <w:szCs w:val="21"/>
              </w:rPr>
            </w:pPr>
            <w:r>
              <w:rPr>
                <w:rFonts w:hint="eastAsia"/>
                <w:kern w:val="0"/>
                <w:szCs w:val="21"/>
              </w:rPr>
              <w:t>机床应保持清洁整齐；严禁在床头、床面、刀架上放一切物件</w:t>
            </w:r>
          </w:p>
        </w:tc>
        <w:tc>
          <w:tcPr>
            <w:tcW w:w="3260" w:type="dxa"/>
            <w:shd w:val="clear" w:color="auto" w:fill="auto"/>
            <w:tcMar>
              <w:left w:w="45" w:type="dxa"/>
              <w:right w:w="45" w:type="dxa"/>
            </w:tcMar>
            <w:vAlign w:val="center"/>
          </w:tcPr>
          <w:p>
            <w:pPr>
              <w:widowControl/>
              <w:spacing w:line="300" w:lineRule="exact"/>
              <w:jc w:val="left"/>
              <w:rPr>
                <w:b/>
                <w:bCs/>
                <w:kern w:val="0"/>
                <w:szCs w:val="21"/>
              </w:rPr>
            </w:pPr>
            <w:r>
              <w:rPr>
                <w:rFonts w:hint="eastAsia"/>
                <w:kern w:val="0"/>
                <w:szCs w:val="21"/>
              </w:rPr>
              <w:t>检查机床整洁</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11.2.3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设备在运转时，严禁用手调整；禁止操作人员的身体任一部位进入危险区，如需调整应首先关停机械设备</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检查区域标示</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11.2.4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检查接地，用电笔检查设备静电</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11.2.5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kern w:val="0"/>
                <w:szCs w:val="21"/>
              </w:rPr>
              <w:t>11.2.6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锻压设备不得空打或大力敲打过薄锻件，锻造时锻件应达到850 C以上，锻锤空置时应垫有木块</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kern w:val="0"/>
                <w:szCs w:val="21"/>
              </w:rPr>
              <w:t>11.2.7</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kern w:val="0"/>
                <w:szCs w:val="21"/>
              </w:rPr>
              <w:t>11.2.8</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kern w:val="0"/>
                <w:szCs w:val="21"/>
              </w:rPr>
              <w:t>11.2.9</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kern w:val="0"/>
                <w:szCs w:val="21"/>
              </w:rPr>
              <w:t>11.2.10</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 xml:space="preserve">铸造实验场地宽敞、通道畅通，实验时穿好劳动保护服装 </w:t>
            </w:r>
          </w:p>
        </w:tc>
        <w:tc>
          <w:tcPr>
            <w:tcW w:w="3260" w:type="dxa"/>
            <w:shd w:val="clear" w:color="auto" w:fill="auto"/>
            <w:tcMar>
              <w:left w:w="45" w:type="dxa"/>
              <w:right w:w="45" w:type="dxa"/>
            </w:tcMar>
            <w:vAlign w:val="center"/>
          </w:tcPr>
          <w:p>
            <w:pPr>
              <w:spacing w:line="300" w:lineRule="exact"/>
              <w:rPr>
                <w:kern w:val="0"/>
                <w:szCs w:val="21"/>
              </w:rPr>
            </w:pPr>
            <w:r>
              <w:rPr>
                <w:rFonts w:hint="eastAsia"/>
                <w:kern w:val="0"/>
                <w:szCs w:val="21"/>
              </w:rPr>
              <w:t>检查工作现场</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kern w:val="0"/>
                <w:szCs w:val="21"/>
              </w:rPr>
              <w:t>11.2.11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检查相关规定</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kern w:val="0"/>
                <w:szCs w:val="21"/>
              </w:rPr>
              <w:t>11.2.12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机械加工等产生噪音的实验做好消音工作</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kern w:val="0"/>
                <w:szCs w:val="21"/>
              </w:rPr>
              <w:t>11.2.13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2米以上高空临边、攀登作业，要穿防滑鞋、使用安全带，有相关安全操作规程</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11.3</w:t>
            </w:r>
          </w:p>
        </w:tc>
        <w:tc>
          <w:tcPr>
            <w:tcW w:w="13524" w:type="dxa"/>
            <w:gridSpan w:val="6"/>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电气</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11.3.1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 xml:space="preserve">电气设备所用的保险丝(管)的额定电流应与其负荷容量相适应，无用其它金属线代替保险丝(片)现象 </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检查设备及要求</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11.3.2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检查室内机及设备配电</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11.3.3</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检查实验要求、</w:t>
            </w:r>
            <w:r>
              <w:rPr>
                <w:kern w:val="0"/>
                <w:szCs w:val="21"/>
              </w:rPr>
              <w:t>记录</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kern w:val="0"/>
                <w:szCs w:val="21"/>
              </w:rPr>
              <w:t>11.3.4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kern w:val="0"/>
                <w:szCs w:val="21"/>
              </w:rPr>
              <w:t>11.3.5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kern w:val="0"/>
                <w:szCs w:val="21"/>
              </w:rPr>
              <w:t>11.3.6</w:t>
            </w:r>
          </w:p>
        </w:tc>
        <w:tc>
          <w:tcPr>
            <w:tcW w:w="5810" w:type="dxa"/>
            <w:shd w:val="clear" w:color="auto" w:fill="auto"/>
            <w:tcMar>
              <w:left w:w="45" w:type="dxa"/>
              <w:right w:w="45" w:type="dxa"/>
            </w:tcMar>
            <w:vAlign w:val="center"/>
          </w:tcPr>
          <w:p>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高度不低于2米</w:t>
            </w:r>
            <w:r>
              <w:rPr>
                <w:rFonts w:hint="eastAsia"/>
                <w:kern w:val="0"/>
                <w:szCs w:val="21"/>
              </w:rPr>
              <w:t>）；控制室（控制台）应铺橡胶、绝缘垫等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安全距离：10kV为0.7m；66kV为1.5m；220kV为3m；</w:t>
            </w:r>
            <w:r>
              <w:rPr>
                <w:rFonts w:hint="eastAsia"/>
                <w:bCs/>
                <w:kern w:val="0"/>
                <w:szCs w:val="21"/>
              </w:rPr>
              <w:t>检查报警系统</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kern w:val="0"/>
                <w:szCs w:val="21"/>
              </w:rPr>
              <w:t>11.3.7</w:t>
            </w:r>
          </w:p>
        </w:tc>
        <w:tc>
          <w:tcPr>
            <w:tcW w:w="5810" w:type="dxa"/>
            <w:shd w:val="clear" w:color="auto" w:fill="auto"/>
            <w:tcMar>
              <w:left w:w="45" w:type="dxa"/>
              <w:right w:w="45" w:type="dxa"/>
            </w:tcMar>
            <w:vAlign w:val="center"/>
          </w:tcPr>
          <w:p>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kern w:val="0"/>
                <w:szCs w:val="21"/>
              </w:rPr>
              <w:t>11.3.8</w:t>
            </w:r>
          </w:p>
        </w:tc>
        <w:tc>
          <w:tcPr>
            <w:tcW w:w="5810" w:type="dxa"/>
            <w:shd w:val="clear" w:color="auto" w:fill="auto"/>
            <w:tcMar>
              <w:left w:w="45" w:type="dxa"/>
              <w:right w:w="45" w:type="dxa"/>
            </w:tcMar>
            <w:vAlign w:val="center"/>
          </w:tcPr>
          <w:p>
            <w:pPr>
              <w:spacing w:line="300" w:lineRule="exact"/>
              <w:rPr>
                <w:szCs w:val="21"/>
              </w:rPr>
            </w:pPr>
            <w:r>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检查护具及提示</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kern w:val="0"/>
                <w:szCs w:val="21"/>
              </w:rPr>
              <w:t>11.3.9</w:t>
            </w:r>
          </w:p>
        </w:tc>
        <w:tc>
          <w:tcPr>
            <w:tcW w:w="5810" w:type="dxa"/>
            <w:shd w:val="clear" w:color="auto" w:fill="auto"/>
            <w:tcMar>
              <w:left w:w="45" w:type="dxa"/>
              <w:right w:w="45" w:type="dxa"/>
            </w:tcMar>
            <w:vAlign w:val="center"/>
          </w:tcPr>
          <w:p>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检查试验要求</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kern w:val="0"/>
                <w:szCs w:val="21"/>
              </w:rPr>
              <w:t>11.3.10</w:t>
            </w:r>
          </w:p>
        </w:tc>
        <w:tc>
          <w:tcPr>
            <w:tcW w:w="5810" w:type="dxa"/>
            <w:shd w:val="clear" w:color="auto" w:fill="auto"/>
            <w:tcMar>
              <w:left w:w="45" w:type="dxa"/>
              <w:right w:w="45" w:type="dxa"/>
            </w:tcMar>
            <w:vAlign w:val="center"/>
          </w:tcPr>
          <w:p>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标识牌</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黑体"/>
                <w:kern w:val="0"/>
                <w:szCs w:val="21"/>
              </w:rPr>
            </w:pPr>
            <w:r>
              <w:rPr>
                <w:rFonts w:eastAsia="黑体"/>
                <w:kern w:val="0"/>
                <w:szCs w:val="21"/>
              </w:rPr>
              <w:t>11.3.11</w:t>
            </w:r>
          </w:p>
        </w:tc>
        <w:tc>
          <w:tcPr>
            <w:tcW w:w="5810" w:type="dxa"/>
            <w:shd w:val="clear" w:color="auto" w:fill="auto"/>
            <w:tcMar>
              <w:left w:w="45" w:type="dxa"/>
              <w:right w:w="45" w:type="dxa"/>
            </w:tcMar>
            <w:vAlign w:val="center"/>
          </w:tcPr>
          <w:p>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现场</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szCs w:val="21"/>
              </w:rPr>
              <w:t>11.3.12</w:t>
            </w:r>
          </w:p>
        </w:tc>
        <w:tc>
          <w:tcPr>
            <w:tcW w:w="5810" w:type="dxa"/>
            <w:shd w:val="clear" w:color="auto" w:fill="auto"/>
            <w:tcMar>
              <w:left w:w="45" w:type="dxa"/>
              <w:right w:w="45" w:type="dxa"/>
            </w:tcMar>
            <w:vAlign w:val="center"/>
          </w:tcPr>
          <w:p>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检查现场</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11.4</w:t>
            </w:r>
          </w:p>
        </w:tc>
        <w:tc>
          <w:tcPr>
            <w:tcW w:w="13524" w:type="dxa"/>
            <w:gridSpan w:val="6"/>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11.4.1</w:t>
            </w:r>
          </w:p>
        </w:tc>
        <w:tc>
          <w:tcPr>
            <w:tcW w:w="5810" w:type="dxa"/>
            <w:shd w:val="clear" w:color="auto" w:fill="auto"/>
            <w:tcMar>
              <w:left w:w="45" w:type="dxa"/>
              <w:right w:w="45" w:type="dxa"/>
            </w:tcMar>
            <w:vAlign w:val="center"/>
          </w:tcPr>
          <w:p>
            <w:pPr>
              <w:widowControl/>
              <w:spacing w:line="300" w:lineRule="exact"/>
              <w:jc w:val="left"/>
              <w:rPr>
                <w:kern w:val="0"/>
                <w:szCs w:val="21"/>
              </w:rPr>
            </w:pPr>
            <w:r>
              <w:rPr>
                <w:bCs/>
                <w:kern w:val="0"/>
                <w:szCs w:val="21"/>
              </w:rPr>
              <w:t>有激光器的安全使用方法，有激光危害标识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检查提示</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kern w:val="0"/>
                <w:szCs w:val="21"/>
              </w:rPr>
              <w:t>11.4.2</w:t>
            </w:r>
          </w:p>
        </w:tc>
        <w:tc>
          <w:tcPr>
            <w:tcW w:w="5810" w:type="dxa"/>
            <w:shd w:val="clear" w:color="auto" w:fill="auto"/>
            <w:tcMar>
              <w:left w:w="45" w:type="dxa"/>
              <w:right w:w="45" w:type="dxa"/>
            </w:tcMar>
            <w:vAlign w:val="center"/>
          </w:tcPr>
          <w:p>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kern w:val="0"/>
                <w:szCs w:val="21"/>
              </w:rPr>
              <w:t>11.4.3</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检查护具、提示</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kern w:val="0"/>
                <w:szCs w:val="21"/>
              </w:rPr>
              <w:t>11.4.4</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rFonts w:hint="eastAsia" w:ascii="Arial" w:hAnsi="Arial" w:cs="Arial"/>
                <w:szCs w:val="21"/>
                <w:shd w:val="clear" w:color="auto" w:fill="FFFFFF"/>
              </w:rPr>
              <w:t>禁止</w:t>
            </w:r>
            <w:r>
              <w:rPr>
                <w:rFonts w:ascii="Arial" w:hAnsi="Arial" w:cs="Arial"/>
                <w:szCs w:val="21"/>
                <w:shd w:val="clear" w:color="auto" w:fill="FFFFFF"/>
              </w:rPr>
              <w:t>直视激光束和它的反向光束</w:t>
            </w:r>
            <w:r>
              <w:rPr>
                <w:rFonts w:hint="eastAsia" w:ascii="Arial" w:hAnsi="Arial" w:cs="Arial"/>
                <w:szCs w:val="21"/>
                <w:shd w:val="clear" w:color="auto" w:fill="FFFFFF"/>
              </w:rPr>
              <w:t>，禁止</w:t>
            </w:r>
            <w:r>
              <w:rPr>
                <w:rFonts w:ascii="Arial" w:hAnsi="Arial" w:cs="Arial"/>
                <w:szCs w:val="21"/>
                <w:shd w:val="clear" w:color="auto" w:fill="FFFFFF"/>
              </w:rPr>
              <w:t>对激光器件做任何目视准直操作</w:t>
            </w:r>
            <w:r>
              <w:rPr>
                <w:rFonts w:hint="eastAsia" w:ascii="Arial" w:hAnsi="Arial" w:cs="Arial"/>
                <w:szCs w:val="21"/>
                <w:shd w:val="clear" w:color="auto" w:fill="FFFFFF"/>
              </w:rPr>
              <w:t>；</w:t>
            </w:r>
            <w:r>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检查提示、</w:t>
            </w:r>
            <w:r>
              <w:rPr>
                <w:bCs/>
                <w:kern w:val="0"/>
                <w:szCs w:val="21"/>
              </w:rPr>
              <w:t>现场询问</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11.5</w:t>
            </w:r>
          </w:p>
        </w:tc>
        <w:tc>
          <w:tcPr>
            <w:tcW w:w="13524" w:type="dxa"/>
            <w:gridSpan w:val="6"/>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粉尘</w:t>
            </w:r>
            <w:r>
              <w:rPr>
                <w:rFonts w:hint="eastAsia"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11.5.1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查看现场</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11.5.2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11.5.3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粉尘加工要有除尘装置，除尘器符合防静电安全要求，除尘设施应有阻爆、隔爆、泄爆装置；使用工具具有防爆功能或不产生火花</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11.5.4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产生粉尘实验场所，必须穿防静电棉质衣服，禁止穿化纤材料制作的衣服，工作时必须佩戴防尘口罩和护耳器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11.5.5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kern w:val="0"/>
                <w:szCs w:val="21"/>
              </w:rPr>
              <w:t>11.5.6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kern w:val="0"/>
                <w:szCs w:val="21"/>
              </w:rPr>
              <w:t>11.5.7</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保证实验室（车间）粉尘浓度在爆炸下限以下</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粮食粉尘爆炸下限为40--200g/m</w:t>
            </w:r>
            <w:r>
              <w:rPr>
                <w:rFonts w:hint="eastAsia"/>
                <w:kern w:val="0"/>
                <w:szCs w:val="21"/>
                <w:vertAlign w:val="superscript"/>
              </w:rPr>
              <w:t>3</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48" w:type="dxa"/>
            <w:shd w:val="clear" w:color="auto" w:fill="auto"/>
            <w:tcMar>
              <w:left w:w="45" w:type="dxa"/>
              <w:right w:w="45" w:type="dxa"/>
            </w:tcMar>
            <w:vAlign w:val="center"/>
          </w:tcPr>
          <w:p>
            <w:pPr>
              <w:spacing w:line="300" w:lineRule="exact"/>
              <w:jc w:val="left"/>
              <w:rPr>
                <w:rFonts w:eastAsia="黑体"/>
                <w:szCs w:val="21"/>
              </w:rPr>
            </w:pPr>
            <w:r>
              <w:rPr>
                <w:rFonts w:eastAsia="黑体"/>
                <w:szCs w:val="21"/>
              </w:rPr>
              <w:t>11.5.8</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粉尘浓度较高的场所，有加湿装置（喷雾）使湿度在65%以上</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12</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12.1</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起重类</w:t>
            </w:r>
            <w:r>
              <w:rPr>
                <w:b/>
                <w:kern w:val="0"/>
                <w:szCs w:val="21"/>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12.1.1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额定起重量大于等于3t且提升高度大于等于2m的起重设备</w:t>
            </w:r>
            <w:r>
              <w:rPr>
                <w:kern w:val="0"/>
                <w:szCs w:val="21"/>
              </w:rPr>
              <w:t>，</w:t>
            </w:r>
            <w:r>
              <w:rPr>
                <w:rFonts w:hint="eastAsia"/>
                <w:kern w:val="0"/>
                <w:szCs w:val="21"/>
              </w:rPr>
              <w:t>须取得《特种设备使用登记证》</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12.1.2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，并每4年复审一次</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证书是否在有效期</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12.1.3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pPr>
              <w:widowControl/>
              <w:spacing w:line="300" w:lineRule="exact"/>
              <w:jc w:val="left"/>
              <w:rPr>
                <w:b/>
                <w:bCs/>
                <w:kern w:val="0"/>
                <w:szCs w:val="21"/>
              </w:rPr>
            </w:pPr>
            <w:r>
              <w:rPr>
                <w:rFonts w:hint="eastAsia"/>
                <w:kern w:val="0"/>
                <w:szCs w:val="21"/>
              </w:rPr>
              <w:t>合格证是否在有效期内</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12.1.4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查看资料</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12.1.5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12.1.6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试验</w:t>
            </w:r>
            <w:r>
              <w:rPr>
                <w:kern w:val="0"/>
                <w:szCs w:val="21"/>
              </w:rPr>
              <w:t>声光报警器</w:t>
            </w:r>
          </w:p>
        </w:tc>
        <w:tc>
          <w:tcPr>
            <w:tcW w:w="599" w:type="dxa"/>
            <w:tcMar>
              <w:left w:w="45" w:type="dxa"/>
              <w:right w:w="45" w:type="dxa"/>
            </w:tcMar>
            <w:vAlign w:val="center"/>
          </w:tcPr>
          <w:p>
            <w:pPr>
              <w:widowControl/>
              <w:spacing w:line="300" w:lineRule="exact"/>
              <w:jc w:val="center"/>
              <w:rPr>
                <w:b/>
                <w:bCs/>
                <w:kern w:val="0"/>
                <w:szCs w:val="21"/>
              </w:rPr>
            </w:pPr>
          </w:p>
        </w:tc>
        <w:tc>
          <w:tcPr>
            <w:tcW w:w="853" w:type="dxa"/>
            <w:vAlign w:val="center"/>
          </w:tcPr>
          <w:p>
            <w:pPr>
              <w:widowControl/>
              <w:spacing w:line="300" w:lineRule="exact"/>
              <w:jc w:val="center"/>
              <w:rPr>
                <w:b/>
                <w:bCs/>
                <w:kern w:val="0"/>
                <w:szCs w:val="21"/>
              </w:rPr>
            </w:pPr>
          </w:p>
        </w:tc>
        <w:tc>
          <w:tcPr>
            <w:tcW w:w="882" w:type="dxa"/>
            <w:vAlign w:val="center"/>
          </w:tcPr>
          <w:p>
            <w:pPr>
              <w:widowControl/>
              <w:spacing w:line="300" w:lineRule="exact"/>
              <w:jc w:val="center"/>
              <w:rPr>
                <w:b/>
                <w:bCs/>
                <w:kern w:val="0"/>
                <w:szCs w:val="21"/>
              </w:rPr>
            </w:pPr>
          </w:p>
        </w:tc>
        <w:tc>
          <w:tcPr>
            <w:tcW w:w="212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12.2</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12.2.1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设备铭牌上标明为简单压力容器不需办理</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12.2.2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操作人员持证上岗</w:t>
            </w:r>
            <w:r>
              <w:rPr>
                <w:rFonts w:hint="eastAsia"/>
                <w:kern w:val="0"/>
                <w:szCs w:val="21"/>
              </w:rPr>
              <w:t>，取得《特种设备作业人员证》，并每4年复审一次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《特种设备作业人员证》是否在有效期</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12.2.3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合格证是否在有效期内</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12.2.4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查看资料</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12.2.5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原则上不超期使用。对于已达设计使用年限，或未规定使用年限但已超过20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新的证书</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12.2.6</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大型实验气体（窒息、可燃类）罐必须放置在室外，周围设置隔离装置、安全警示标识</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有隔离装置，坚固牢靠</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12.2.7</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可燃性性</w:t>
            </w:r>
            <w:r>
              <w:rPr>
                <w:kern w:val="0"/>
                <w:szCs w:val="21"/>
              </w:rPr>
              <w:t>气罐远离火源热源</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12.2.8</w:t>
            </w:r>
          </w:p>
        </w:tc>
        <w:tc>
          <w:tcPr>
            <w:tcW w:w="581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电气设施是否防爆，避雷装置是否接地</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12.2.9</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制定大型气体罐管理制度和操作规程，落实</w:t>
            </w:r>
            <w:r>
              <w:rPr>
                <w:kern w:val="0"/>
                <w:szCs w:val="21"/>
              </w:rPr>
              <w:t>维护、保养及安全责任制</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在明显处张贴操作</w:t>
            </w:r>
            <w:r>
              <w:rPr>
                <w:kern w:val="0"/>
                <w:szCs w:val="21"/>
              </w:rPr>
              <w:t>规程</w:t>
            </w:r>
            <w:r>
              <w:rPr>
                <w:rFonts w:hint="eastAsia"/>
                <w:kern w:val="0"/>
                <w:szCs w:val="21"/>
              </w:rPr>
              <w:t>、</w:t>
            </w:r>
            <w:r>
              <w:rPr>
                <w:kern w:val="0"/>
                <w:szCs w:val="21"/>
              </w:rPr>
              <w:t>责任标牌</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12.2.10</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 xml:space="preserve">实行使用登记制度，及时填写“使用登记表” </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使用登记表内容完整</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12.2.11</w:t>
            </w:r>
          </w:p>
        </w:tc>
        <w:tc>
          <w:tcPr>
            <w:tcW w:w="5810" w:type="dxa"/>
            <w:shd w:val="clear" w:color="auto" w:fill="auto"/>
            <w:tcMar>
              <w:left w:w="45" w:type="dxa"/>
              <w:right w:w="45" w:type="dxa"/>
            </w:tcMar>
            <w:vAlign w:val="center"/>
          </w:tcPr>
          <w:p>
            <w:pPr>
              <w:spacing w:line="300" w:lineRule="exact"/>
              <w:rPr>
                <w:kern w:val="0"/>
                <w:szCs w:val="21"/>
              </w:rPr>
            </w:pPr>
            <w:r>
              <w:rPr>
                <w:kern w:val="0"/>
                <w:szCs w:val="21"/>
              </w:rPr>
              <w:t>定期检查</w:t>
            </w:r>
            <w:r>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有检查表记录</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12.3</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12.3.1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取得《厂内机动车辆监督检验报告》</w:t>
            </w:r>
          </w:p>
        </w:tc>
        <w:tc>
          <w:tcPr>
            <w:tcW w:w="3260" w:type="dxa"/>
            <w:shd w:val="clear" w:color="auto" w:fill="auto"/>
            <w:tcMar>
              <w:left w:w="45" w:type="dxa"/>
              <w:right w:w="45" w:type="dxa"/>
            </w:tcMar>
            <w:vAlign w:val="center"/>
          </w:tcPr>
          <w:p>
            <w:pPr>
              <w:widowControl/>
              <w:spacing w:line="300" w:lineRule="exact"/>
              <w:jc w:val="left"/>
              <w:rPr>
                <w:kern w:val="0"/>
                <w:szCs w:val="21"/>
              </w:rPr>
            </w:pP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12.3.2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3260" w:type="dxa"/>
            <w:shd w:val="clear" w:color="auto" w:fill="auto"/>
            <w:tcMar>
              <w:left w:w="45" w:type="dxa"/>
              <w:right w:w="45" w:type="dxa"/>
            </w:tcMar>
            <w:vAlign w:val="center"/>
          </w:tcPr>
          <w:p>
            <w:pPr>
              <w:widowControl/>
              <w:spacing w:line="300" w:lineRule="exact"/>
              <w:jc w:val="left"/>
              <w:rPr>
                <w:b/>
                <w:bCs/>
                <w:kern w:val="0"/>
                <w:szCs w:val="21"/>
              </w:rPr>
            </w:pPr>
            <w:r>
              <w:rPr>
                <w:rFonts w:hint="eastAsia"/>
                <w:kern w:val="0"/>
                <w:szCs w:val="21"/>
              </w:rPr>
              <w:t>证书在有效期内</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12.3.3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合格证在有效期内</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12.4</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冰箱管理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12.4.1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贮存危险化学品的冰箱为防爆冰箱或经过防爆改造的冰箱，禁止使用无霜</w:t>
            </w:r>
            <w:r>
              <w:rPr>
                <w:rFonts w:hint="eastAsia"/>
                <w:kern w:val="0"/>
                <w:szCs w:val="21"/>
              </w:rPr>
              <w:t>型</w:t>
            </w:r>
            <w:r>
              <w:rPr>
                <w:kern w:val="0"/>
                <w:szCs w:val="21"/>
              </w:rPr>
              <w:t>冰箱储存易燃易爆试剂</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12.4.2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查看冰箱及</w:t>
            </w:r>
            <w:r>
              <w:rPr>
                <w:kern w:val="0"/>
                <w:szCs w:val="21"/>
              </w:rPr>
              <w:t>清理记录</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12.4.3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冰箱内储存试剂必须密封好</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螺口拧紧，无开口容器</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12.4.4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超期服役（一般使用期限控制为10年）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12.4.5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出10cm</w:t>
            </w:r>
            <w:r>
              <w:rPr>
                <w:rFonts w:hint="eastAsia"/>
                <w:kern w:val="0"/>
                <w:szCs w:val="21"/>
              </w:rPr>
              <w:t>，</w:t>
            </w:r>
            <w:r>
              <w:rPr>
                <w:kern w:val="0"/>
                <w:szCs w:val="21"/>
              </w:rPr>
              <w:t>上部最少30cm的距离</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12.4.6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实验室冰箱中不放置食品</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实验区和办公生活区严格区分</w:t>
            </w:r>
          </w:p>
        </w:tc>
        <w:tc>
          <w:tcPr>
            <w:tcW w:w="599" w:type="dxa"/>
            <w:tcMar>
              <w:left w:w="45" w:type="dxa"/>
              <w:right w:w="45" w:type="dxa"/>
            </w:tcMar>
            <w:vAlign w:val="center"/>
          </w:tcPr>
          <w:p>
            <w:pPr>
              <w:widowControl/>
              <w:spacing w:line="300" w:lineRule="exact"/>
              <w:jc w:val="center"/>
              <w:rPr>
                <w:bCs/>
                <w:kern w:val="0"/>
                <w:szCs w:val="21"/>
              </w:rPr>
            </w:pPr>
          </w:p>
        </w:tc>
        <w:tc>
          <w:tcPr>
            <w:tcW w:w="853" w:type="dxa"/>
            <w:vAlign w:val="center"/>
          </w:tcPr>
          <w:p>
            <w:pPr>
              <w:widowControl/>
              <w:spacing w:line="300" w:lineRule="exact"/>
              <w:jc w:val="center"/>
              <w:rPr>
                <w:bCs/>
                <w:kern w:val="0"/>
                <w:szCs w:val="21"/>
              </w:rPr>
            </w:pPr>
          </w:p>
        </w:tc>
        <w:tc>
          <w:tcPr>
            <w:tcW w:w="882" w:type="dxa"/>
            <w:vAlign w:val="center"/>
          </w:tcPr>
          <w:p>
            <w:pPr>
              <w:widowControl/>
              <w:spacing w:line="300" w:lineRule="exact"/>
              <w:jc w:val="center"/>
              <w:rPr>
                <w:bCs/>
                <w:kern w:val="0"/>
                <w:szCs w:val="21"/>
              </w:rPr>
            </w:pPr>
          </w:p>
        </w:tc>
        <w:tc>
          <w:tcPr>
            <w:tcW w:w="212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12.5</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烘箱与电阻炉管理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12.5.1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超期服役（一般使用期限控制为12年）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599" w:type="dxa"/>
            <w:tcMar>
              <w:left w:w="45" w:type="dxa"/>
              <w:right w:w="45" w:type="dxa"/>
            </w:tcMar>
            <w:vAlign w:val="center"/>
          </w:tcPr>
          <w:p>
            <w:pPr>
              <w:widowControl/>
              <w:spacing w:line="300" w:lineRule="exact"/>
              <w:jc w:val="center"/>
              <w:rPr>
                <w:kern w:val="0"/>
                <w:szCs w:val="21"/>
              </w:rPr>
            </w:pPr>
          </w:p>
        </w:tc>
        <w:tc>
          <w:tcPr>
            <w:tcW w:w="853" w:type="dxa"/>
            <w:vAlign w:val="center"/>
          </w:tcPr>
          <w:p>
            <w:pPr>
              <w:widowControl/>
              <w:spacing w:line="300" w:lineRule="exact"/>
              <w:jc w:val="center"/>
              <w:rPr>
                <w:kern w:val="0"/>
                <w:szCs w:val="21"/>
              </w:rPr>
            </w:pPr>
          </w:p>
        </w:tc>
        <w:tc>
          <w:tcPr>
            <w:tcW w:w="882" w:type="dxa"/>
            <w:vAlign w:val="center"/>
          </w:tcPr>
          <w:p>
            <w:pPr>
              <w:widowControl/>
              <w:spacing w:line="300" w:lineRule="exact"/>
              <w:jc w:val="center"/>
              <w:rPr>
                <w:kern w:val="0"/>
                <w:szCs w:val="21"/>
              </w:rPr>
            </w:pPr>
          </w:p>
        </w:tc>
        <w:tc>
          <w:tcPr>
            <w:tcW w:w="212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12.5.2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599" w:type="dxa"/>
            <w:tcMar>
              <w:left w:w="45" w:type="dxa"/>
              <w:right w:w="45" w:type="dxa"/>
            </w:tcMar>
            <w:vAlign w:val="center"/>
          </w:tcPr>
          <w:p>
            <w:pPr>
              <w:widowControl/>
              <w:spacing w:line="300" w:lineRule="exact"/>
              <w:jc w:val="center"/>
              <w:rPr>
                <w:kern w:val="0"/>
                <w:szCs w:val="21"/>
              </w:rPr>
            </w:pPr>
          </w:p>
        </w:tc>
        <w:tc>
          <w:tcPr>
            <w:tcW w:w="853" w:type="dxa"/>
            <w:vAlign w:val="center"/>
          </w:tcPr>
          <w:p>
            <w:pPr>
              <w:widowControl/>
              <w:spacing w:line="300" w:lineRule="exact"/>
              <w:jc w:val="center"/>
              <w:rPr>
                <w:kern w:val="0"/>
                <w:szCs w:val="21"/>
              </w:rPr>
            </w:pPr>
          </w:p>
        </w:tc>
        <w:tc>
          <w:tcPr>
            <w:tcW w:w="882" w:type="dxa"/>
            <w:vAlign w:val="center"/>
          </w:tcPr>
          <w:p>
            <w:pPr>
              <w:widowControl/>
              <w:spacing w:line="300" w:lineRule="exact"/>
              <w:jc w:val="center"/>
              <w:rPr>
                <w:kern w:val="0"/>
                <w:szCs w:val="21"/>
              </w:rPr>
            </w:pPr>
          </w:p>
        </w:tc>
        <w:tc>
          <w:tcPr>
            <w:tcW w:w="212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12.5.3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合适，方便操作</w:t>
            </w:r>
          </w:p>
        </w:tc>
        <w:tc>
          <w:tcPr>
            <w:tcW w:w="3260" w:type="dxa"/>
            <w:shd w:val="clear" w:color="auto" w:fill="auto"/>
            <w:tcMar>
              <w:left w:w="45" w:type="dxa"/>
              <w:right w:w="45" w:type="dxa"/>
            </w:tcMar>
            <w:vAlign w:val="center"/>
          </w:tcPr>
          <w:p>
            <w:pPr>
              <w:widowControl/>
              <w:spacing w:line="300" w:lineRule="exact"/>
              <w:rPr>
                <w:kern w:val="0"/>
                <w:szCs w:val="21"/>
              </w:rPr>
            </w:pPr>
            <w:r>
              <w:rPr>
                <w:rFonts w:hint="eastAsia"/>
                <w:kern w:val="0"/>
                <w:szCs w:val="21"/>
              </w:rPr>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r>
              <w:rPr>
                <w:kern w:val="0"/>
                <w:szCs w:val="21"/>
              </w:rPr>
              <w:t>不</w:t>
            </w:r>
            <w:r>
              <w:rPr>
                <w:rFonts w:hint="eastAsia"/>
                <w:kern w:val="0"/>
                <w:szCs w:val="21"/>
              </w:rPr>
              <w:t>攀高</w:t>
            </w:r>
            <w:r>
              <w:rPr>
                <w:kern w:val="0"/>
                <w:szCs w:val="21"/>
              </w:rPr>
              <w:t>为宜</w:t>
            </w:r>
          </w:p>
        </w:tc>
        <w:tc>
          <w:tcPr>
            <w:tcW w:w="599" w:type="dxa"/>
            <w:tcMar>
              <w:left w:w="45" w:type="dxa"/>
              <w:right w:w="45" w:type="dxa"/>
            </w:tcMar>
            <w:vAlign w:val="center"/>
          </w:tcPr>
          <w:p>
            <w:pPr>
              <w:widowControl/>
              <w:spacing w:line="300" w:lineRule="exact"/>
              <w:jc w:val="center"/>
              <w:rPr>
                <w:kern w:val="0"/>
                <w:szCs w:val="21"/>
              </w:rPr>
            </w:pPr>
          </w:p>
        </w:tc>
        <w:tc>
          <w:tcPr>
            <w:tcW w:w="853" w:type="dxa"/>
            <w:vAlign w:val="center"/>
          </w:tcPr>
          <w:p>
            <w:pPr>
              <w:widowControl/>
              <w:spacing w:line="300" w:lineRule="exact"/>
              <w:jc w:val="center"/>
              <w:rPr>
                <w:kern w:val="0"/>
                <w:szCs w:val="21"/>
              </w:rPr>
            </w:pPr>
          </w:p>
        </w:tc>
        <w:tc>
          <w:tcPr>
            <w:tcW w:w="882" w:type="dxa"/>
            <w:vAlign w:val="center"/>
          </w:tcPr>
          <w:p>
            <w:pPr>
              <w:widowControl/>
              <w:spacing w:line="300" w:lineRule="exact"/>
              <w:jc w:val="center"/>
              <w:rPr>
                <w:kern w:val="0"/>
                <w:szCs w:val="21"/>
              </w:rPr>
            </w:pPr>
          </w:p>
        </w:tc>
        <w:tc>
          <w:tcPr>
            <w:tcW w:w="212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12.5.4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查看现场</w:t>
            </w:r>
          </w:p>
        </w:tc>
        <w:tc>
          <w:tcPr>
            <w:tcW w:w="599" w:type="dxa"/>
            <w:tcMar>
              <w:left w:w="45" w:type="dxa"/>
              <w:right w:w="45" w:type="dxa"/>
            </w:tcMar>
            <w:vAlign w:val="center"/>
          </w:tcPr>
          <w:p>
            <w:pPr>
              <w:widowControl/>
              <w:spacing w:line="300" w:lineRule="exact"/>
              <w:jc w:val="center"/>
              <w:rPr>
                <w:kern w:val="0"/>
                <w:szCs w:val="21"/>
              </w:rPr>
            </w:pPr>
          </w:p>
        </w:tc>
        <w:tc>
          <w:tcPr>
            <w:tcW w:w="853" w:type="dxa"/>
            <w:vAlign w:val="center"/>
          </w:tcPr>
          <w:p>
            <w:pPr>
              <w:widowControl/>
              <w:spacing w:line="300" w:lineRule="exact"/>
              <w:jc w:val="center"/>
              <w:rPr>
                <w:kern w:val="0"/>
                <w:szCs w:val="21"/>
              </w:rPr>
            </w:pPr>
          </w:p>
        </w:tc>
        <w:tc>
          <w:tcPr>
            <w:tcW w:w="882" w:type="dxa"/>
            <w:vAlign w:val="center"/>
          </w:tcPr>
          <w:p>
            <w:pPr>
              <w:widowControl/>
              <w:spacing w:line="300" w:lineRule="exact"/>
              <w:jc w:val="center"/>
              <w:rPr>
                <w:kern w:val="0"/>
                <w:szCs w:val="21"/>
              </w:rPr>
            </w:pPr>
          </w:p>
        </w:tc>
        <w:tc>
          <w:tcPr>
            <w:tcW w:w="212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12.5.5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制定安全操作规程，并在周边醒目位置张贴高温警示标识，并有必要的防护措施</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张贴有安全操作规程、警示标识</w:t>
            </w:r>
          </w:p>
        </w:tc>
        <w:tc>
          <w:tcPr>
            <w:tcW w:w="599" w:type="dxa"/>
            <w:tcMar>
              <w:left w:w="45" w:type="dxa"/>
              <w:right w:w="45" w:type="dxa"/>
            </w:tcMar>
            <w:vAlign w:val="center"/>
          </w:tcPr>
          <w:p>
            <w:pPr>
              <w:widowControl/>
              <w:spacing w:line="300" w:lineRule="exact"/>
              <w:jc w:val="center"/>
              <w:rPr>
                <w:kern w:val="0"/>
                <w:szCs w:val="21"/>
              </w:rPr>
            </w:pPr>
          </w:p>
        </w:tc>
        <w:tc>
          <w:tcPr>
            <w:tcW w:w="853" w:type="dxa"/>
            <w:vAlign w:val="center"/>
          </w:tcPr>
          <w:p>
            <w:pPr>
              <w:widowControl/>
              <w:spacing w:line="300" w:lineRule="exact"/>
              <w:jc w:val="center"/>
              <w:rPr>
                <w:kern w:val="0"/>
                <w:szCs w:val="21"/>
              </w:rPr>
            </w:pPr>
          </w:p>
        </w:tc>
        <w:tc>
          <w:tcPr>
            <w:tcW w:w="882" w:type="dxa"/>
            <w:vAlign w:val="center"/>
          </w:tcPr>
          <w:p>
            <w:pPr>
              <w:widowControl/>
              <w:spacing w:line="300" w:lineRule="exact"/>
              <w:jc w:val="center"/>
              <w:rPr>
                <w:kern w:val="0"/>
                <w:szCs w:val="21"/>
              </w:rPr>
            </w:pPr>
          </w:p>
        </w:tc>
        <w:tc>
          <w:tcPr>
            <w:tcW w:w="212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12.5.6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使用烘箱、电阻炉等加热设备时有人值守（或10-15分钟检查一次）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查看使用记录、</w:t>
            </w:r>
            <w:r>
              <w:rPr>
                <w:kern w:val="0"/>
                <w:szCs w:val="21"/>
              </w:rPr>
              <w:t>在用标识</w:t>
            </w:r>
            <w:r>
              <w:rPr>
                <w:rFonts w:hint="eastAsia"/>
                <w:kern w:val="0"/>
                <w:szCs w:val="21"/>
              </w:rPr>
              <w:t xml:space="preserve"> </w:t>
            </w:r>
          </w:p>
        </w:tc>
        <w:tc>
          <w:tcPr>
            <w:tcW w:w="599" w:type="dxa"/>
            <w:tcMar>
              <w:left w:w="45" w:type="dxa"/>
              <w:right w:w="45" w:type="dxa"/>
            </w:tcMar>
            <w:vAlign w:val="center"/>
          </w:tcPr>
          <w:p>
            <w:pPr>
              <w:widowControl/>
              <w:spacing w:line="300" w:lineRule="exact"/>
              <w:jc w:val="center"/>
              <w:rPr>
                <w:kern w:val="0"/>
                <w:szCs w:val="21"/>
              </w:rPr>
            </w:pPr>
          </w:p>
        </w:tc>
        <w:tc>
          <w:tcPr>
            <w:tcW w:w="853" w:type="dxa"/>
            <w:vAlign w:val="center"/>
          </w:tcPr>
          <w:p>
            <w:pPr>
              <w:widowControl/>
              <w:spacing w:line="300" w:lineRule="exact"/>
              <w:jc w:val="center"/>
              <w:rPr>
                <w:kern w:val="0"/>
                <w:szCs w:val="21"/>
              </w:rPr>
            </w:pPr>
          </w:p>
        </w:tc>
        <w:tc>
          <w:tcPr>
            <w:tcW w:w="882" w:type="dxa"/>
            <w:vAlign w:val="center"/>
          </w:tcPr>
          <w:p>
            <w:pPr>
              <w:widowControl/>
              <w:spacing w:line="300" w:lineRule="exact"/>
              <w:jc w:val="center"/>
              <w:rPr>
                <w:kern w:val="0"/>
                <w:szCs w:val="21"/>
              </w:rPr>
            </w:pPr>
          </w:p>
        </w:tc>
        <w:tc>
          <w:tcPr>
            <w:tcW w:w="212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12.5.7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599" w:type="dxa"/>
            <w:tcMar>
              <w:left w:w="45" w:type="dxa"/>
              <w:right w:w="45" w:type="dxa"/>
            </w:tcMar>
            <w:vAlign w:val="center"/>
          </w:tcPr>
          <w:p>
            <w:pPr>
              <w:widowControl/>
              <w:spacing w:line="300" w:lineRule="exact"/>
              <w:jc w:val="center"/>
              <w:rPr>
                <w:kern w:val="0"/>
                <w:szCs w:val="21"/>
              </w:rPr>
            </w:pPr>
          </w:p>
        </w:tc>
        <w:tc>
          <w:tcPr>
            <w:tcW w:w="853" w:type="dxa"/>
            <w:vAlign w:val="center"/>
          </w:tcPr>
          <w:p>
            <w:pPr>
              <w:widowControl/>
              <w:spacing w:line="300" w:lineRule="exact"/>
              <w:jc w:val="center"/>
              <w:rPr>
                <w:kern w:val="0"/>
                <w:szCs w:val="21"/>
              </w:rPr>
            </w:pPr>
          </w:p>
        </w:tc>
        <w:tc>
          <w:tcPr>
            <w:tcW w:w="882" w:type="dxa"/>
            <w:vAlign w:val="center"/>
          </w:tcPr>
          <w:p>
            <w:pPr>
              <w:widowControl/>
              <w:spacing w:line="300" w:lineRule="exact"/>
              <w:jc w:val="center"/>
              <w:rPr>
                <w:kern w:val="0"/>
                <w:szCs w:val="21"/>
              </w:rPr>
            </w:pPr>
          </w:p>
        </w:tc>
        <w:tc>
          <w:tcPr>
            <w:tcW w:w="212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12.5.8</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现场、询问师生</w:t>
            </w:r>
          </w:p>
        </w:tc>
        <w:tc>
          <w:tcPr>
            <w:tcW w:w="599" w:type="dxa"/>
            <w:tcMar>
              <w:left w:w="45" w:type="dxa"/>
              <w:right w:w="45" w:type="dxa"/>
            </w:tcMar>
            <w:vAlign w:val="center"/>
          </w:tcPr>
          <w:p>
            <w:pPr>
              <w:widowControl/>
              <w:spacing w:line="300" w:lineRule="exact"/>
              <w:jc w:val="center"/>
              <w:rPr>
                <w:kern w:val="0"/>
                <w:szCs w:val="21"/>
              </w:rPr>
            </w:pPr>
          </w:p>
        </w:tc>
        <w:tc>
          <w:tcPr>
            <w:tcW w:w="853" w:type="dxa"/>
            <w:vAlign w:val="center"/>
          </w:tcPr>
          <w:p>
            <w:pPr>
              <w:widowControl/>
              <w:spacing w:line="300" w:lineRule="exact"/>
              <w:jc w:val="center"/>
              <w:rPr>
                <w:kern w:val="0"/>
                <w:szCs w:val="21"/>
              </w:rPr>
            </w:pPr>
          </w:p>
        </w:tc>
        <w:tc>
          <w:tcPr>
            <w:tcW w:w="882" w:type="dxa"/>
            <w:vAlign w:val="center"/>
          </w:tcPr>
          <w:p>
            <w:pPr>
              <w:widowControl/>
              <w:spacing w:line="300" w:lineRule="exact"/>
              <w:jc w:val="center"/>
              <w:rPr>
                <w:kern w:val="0"/>
                <w:szCs w:val="21"/>
              </w:rPr>
            </w:pPr>
          </w:p>
        </w:tc>
        <w:tc>
          <w:tcPr>
            <w:tcW w:w="212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b/>
                <w:kern w:val="0"/>
                <w:szCs w:val="21"/>
              </w:rPr>
            </w:pPr>
            <w:r>
              <w:rPr>
                <w:rFonts w:eastAsia="黑体"/>
                <w:b/>
                <w:kern w:val="0"/>
                <w:szCs w:val="21"/>
              </w:rPr>
              <w:t>12.6</w:t>
            </w:r>
          </w:p>
        </w:tc>
        <w:tc>
          <w:tcPr>
            <w:tcW w:w="13524"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明火电炉与电吹风等管理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12.6.1</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szCs w:val="21"/>
              </w:rPr>
              <w:t xml:space="preserve"> </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许可证</w:t>
            </w:r>
          </w:p>
        </w:tc>
        <w:tc>
          <w:tcPr>
            <w:tcW w:w="599" w:type="dxa"/>
            <w:tcMar>
              <w:left w:w="45" w:type="dxa"/>
              <w:right w:w="45" w:type="dxa"/>
            </w:tcMar>
            <w:vAlign w:val="center"/>
          </w:tcPr>
          <w:p>
            <w:pPr>
              <w:widowControl/>
              <w:spacing w:line="300" w:lineRule="exact"/>
              <w:jc w:val="center"/>
              <w:rPr>
                <w:kern w:val="0"/>
                <w:szCs w:val="21"/>
              </w:rPr>
            </w:pPr>
          </w:p>
        </w:tc>
        <w:tc>
          <w:tcPr>
            <w:tcW w:w="853" w:type="dxa"/>
            <w:vAlign w:val="center"/>
          </w:tcPr>
          <w:p>
            <w:pPr>
              <w:widowControl/>
              <w:spacing w:line="300" w:lineRule="exact"/>
              <w:jc w:val="center"/>
              <w:rPr>
                <w:kern w:val="0"/>
                <w:szCs w:val="21"/>
              </w:rPr>
            </w:pPr>
          </w:p>
        </w:tc>
        <w:tc>
          <w:tcPr>
            <w:tcW w:w="882" w:type="dxa"/>
            <w:vAlign w:val="center"/>
          </w:tcPr>
          <w:p>
            <w:pPr>
              <w:widowControl/>
              <w:spacing w:line="300" w:lineRule="exact"/>
              <w:jc w:val="center"/>
              <w:rPr>
                <w:kern w:val="0"/>
                <w:szCs w:val="21"/>
              </w:rPr>
            </w:pPr>
          </w:p>
        </w:tc>
        <w:tc>
          <w:tcPr>
            <w:tcW w:w="212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12.6.2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599" w:type="dxa"/>
            <w:tcMar>
              <w:left w:w="45" w:type="dxa"/>
              <w:right w:w="45" w:type="dxa"/>
            </w:tcMar>
            <w:vAlign w:val="center"/>
          </w:tcPr>
          <w:p>
            <w:pPr>
              <w:widowControl/>
              <w:spacing w:line="300" w:lineRule="exact"/>
              <w:jc w:val="center"/>
              <w:rPr>
                <w:kern w:val="0"/>
                <w:szCs w:val="21"/>
              </w:rPr>
            </w:pPr>
          </w:p>
        </w:tc>
        <w:tc>
          <w:tcPr>
            <w:tcW w:w="853" w:type="dxa"/>
            <w:vAlign w:val="center"/>
          </w:tcPr>
          <w:p>
            <w:pPr>
              <w:widowControl/>
              <w:spacing w:line="300" w:lineRule="exact"/>
              <w:jc w:val="center"/>
              <w:rPr>
                <w:kern w:val="0"/>
                <w:szCs w:val="21"/>
              </w:rPr>
            </w:pPr>
          </w:p>
        </w:tc>
        <w:tc>
          <w:tcPr>
            <w:tcW w:w="882" w:type="dxa"/>
            <w:vAlign w:val="center"/>
          </w:tcPr>
          <w:p>
            <w:pPr>
              <w:widowControl/>
              <w:spacing w:line="300" w:lineRule="exact"/>
              <w:jc w:val="center"/>
              <w:rPr>
                <w:kern w:val="0"/>
                <w:szCs w:val="21"/>
              </w:rPr>
            </w:pPr>
          </w:p>
        </w:tc>
        <w:tc>
          <w:tcPr>
            <w:tcW w:w="212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12.6.3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现场、询问学生</w:t>
            </w:r>
          </w:p>
        </w:tc>
        <w:tc>
          <w:tcPr>
            <w:tcW w:w="599" w:type="dxa"/>
            <w:tcMar>
              <w:left w:w="45" w:type="dxa"/>
              <w:right w:w="45" w:type="dxa"/>
            </w:tcMar>
            <w:vAlign w:val="center"/>
          </w:tcPr>
          <w:p>
            <w:pPr>
              <w:widowControl/>
              <w:spacing w:line="300" w:lineRule="exact"/>
              <w:jc w:val="center"/>
              <w:rPr>
                <w:kern w:val="0"/>
                <w:szCs w:val="21"/>
              </w:rPr>
            </w:pPr>
          </w:p>
        </w:tc>
        <w:tc>
          <w:tcPr>
            <w:tcW w:w="853" w:type="dxa"/>
            <w:vAlign w:val="center"/>
          </w:tcPr>
          <w:p>
            <w:pPr>
              <w:widowControl/>
              <w:spacing w:line="300" w:lineRule="exact"/>
              <w:jc w:val="center"/>
              <w:rPr>
                <w:kern w:val="0"/>
                <w:szCs w:val="21"/>
              </w:rPr>
            </w:pPr>
          </w:p>
        </w:tc>
        <w:tc>
          <w:tcPr>
            <w:tcW w:w="882" w:type="dxa"/>
            <w:vAlign w:val="center"/>
          </w:tcPr>
          <w:p>
            <w:pPr>
              <w:widowControl/>
              <w:spacing w:line="300" w:lineRule="exact"/>
              <w:jc w:val="center"/>
              <w:rPr>
                <w:kern w:val="0"/>
                <w:szCs w:val="21"/>
              </w:rPr>
            </w:pPr>
          </w:p>
        </w:tc>
        <w:tc>
          <w:tcPr>
            <w:tcW w:w="212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12.6.4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明火电炉、电吹风、电热枪等用毕，及时拔除电源插头</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查看现场</w:t>
            </w:r>
          </w:p>
        </w:tc>
        <w:tc>
          <w:tcPr>
            <w:tcW w:w="599" w:type="dxa"/>
            <w:tcMar>
              <w:left w:w="45" w:type="dxa"/>
              <w:right w:w="45" w:type="dxa"/>
            </w:tcMar>
            <w:vAlign w:val="center"/>
          </w:tcPr>
          <w:p>
            <w:pPr>
              <w:widowControl/>
              <w:spacing w:line="300" w:lineRule="exact"/>
              <w:jc w:val="center"/>
              <w:rPr>
                <w:kern w:val="0"/>
                <w:szCs w:val="21"/>
              </w:rPr>
            </w:pPr>
          </w:p>
        </w:tc>
        <w:tc>
          <w:tcPr>
            <w:tcW w:w="853" w:type="dxa"/>
            <w:vAlign w:val="center"/>
          </w:tcPr>
          <w:p>
            <w:pPr>
              <w:widowControl/>
              <w:spacing w:line="300" w:lineRule="exact"/>
              <w:jc w:val="center"/>
              <w:rPr>
                <w:kern w:val="0"/>
                <w:szCs w:val="21"/>
              </w:rPr>
            </w:pPr>
          </w:p>
        </w:tc>
        <w:tc>
          <w:tcPr>
            <w:tcW w:w="882" w:type="dxa"/>
            <w:vAlign w:val="center"/>
          </w:tcPr>
          <w:p>
            <w:pPr>
              <w:widowControl/>
              <w:spacing w:line="300" w:lineRule="exact"/>
              <w:jc w:val="center"/>
              <w:rPr>
                <w:kern w:val="0"/>
                <w:szCs w:val="21"/>
              </w:rPr>
            </w:pPr>
          </w:p>
        </w:tc>
        <w:tc>
          <w:tcPr>
            <w:tcW w:w="212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黑体"/>
                <w:kern w:val="0"/>
                <w:szCs w:val="21"/>
              </w:rPr>
            </w:pPr>
            <w:r>
              <w:rPr>
                <w:rFonts w:eastAsia="黑体"/>
                <w:kern w:val="0"/>
                <w:szCs w:val="21"/>
              </w:rPr>
              <w:t>12.6.5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不能用纸质、木质等材料自制红外灯烘箱</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599" w:type="dxa"/>
            <w:tcMar>
              <w:left w:w="45" w:type="dxa"/>
              <w:right w:w="45" w:type="dxa"/>
            </w:tcMar>
            <w:vAlign w:val="center"/>
          </w:tcPr>
          <w:p>
            <w:pPr>
              <w:widowControl/>
              <w:spacing w:line="300" w:lineRule="exact"/>
              <w:jc w:val="center"/>
              <w:rPr>
                <w:kern w:val="0"/>
                <w:szCs w:val="21"/>
              </w:rPr>
            </w:pPr>
          </w:p>
        </w:tc>
        <w:tc>
          <w:tcPr>
            <w:tcW w:w="853" w:type="dxa"/>
            <w:vAlign w:val="center"/>
          </w:tcPr>
          <w:p>
            <w:pPr>
              <w:widowControl/>
              <w:spacing w:line="300" w:lineRule="exact"/>
              <w:jc w:val="center"/>
              <w:rPr>
                <w:kern w:val="0"/>
                <w:szCs w:val="21"/>
              </w:rPr>
            </w:pPr>
          </w:p>
        </w:tc>
        <w:tc>
          <w:tcPr>
            <w:tcW w:w="882" w:type="dxa"/>
            <w:vAlign w:val="center"/>
          </w:tcPr>
          <w:p>
            <w:pPr>
              <w:widowControl/>
              <w:spacing w:line="300" w:lineRule="exact"/>
              <w:jc w:val="center"/>
              <w:rPr>
                <w:kern w:val="0"/>
                <w:szCs w:val="21"/>
              </w:rPr>
            </w:pPr>
          </w:p>
        </w:tc>
        <w:tc>
          <w:tcPr>
            <w:tcW w:w="2120" w:type="dxa"/>
            <w:vAlign w:val="center"/>
          </w:tcPr>
          <w:p>
            <w:pPr>
              <w:widowControl/>
              <w:spacing w:line="300" w:lineRule="exact"/>
              <w:jc w:val="left"/>
              <w:rPr>
                <w:kern w:val="0"/>
                <w:szCs w:val="21"/>
              </w:rPr>
            </w:pPr>
          </w:p>
        </w:tc>
      </w:tr>
    </w:tbl>
    <w:p>
      <w:pPr>
        <w:adjustRightInd w:val="0"/>
        <w:snapToGrid w:val="0"/>
        <w:spacing w:before="156" w:beforeLines="50"/>
        <w:jc w:val="left"/>
      </w:pPr>
    </w:p>
    <w:sectPr>
      <w:footerReference r:id="rId3" w:type="default"/>
      <w:pgSz w:w="16838" w:h="11906" w:orient="landscape"/>
      <w:pgMar w:top="1247" w:right="1418" w:bottom="1134" w:left="158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文鼎大标宋简">
    <w:altName w:val="宋体"/>
    <w:panose1 w:val="00000000000000000000"/>
    <w:charset w:val="86"/>
    <w:family w:val="roma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ºÚÌå">
    <w:altName w:val="Arial"/>
    <w:panose1 w:val="00000000000000000000"/>
    <w:charset w:val="00"/>
    <w:family w:val="moder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ustomXmlInsRangeStart w:id="0" w:author="THU" w:date="2017-05-13T21:17:00Z"/>
  <w:sdt>
    <w:sdtPr>
      <w:rPr/>
      <w:id w:val="1132680932"/>
    </w:sdtPr>
    <w:sdtEndPr>
      <w:rPr/>
    </w:sdtEndPr>
    <w:sdtContent>
      <w:customXmlInsRangeEnd w:id="0"/>
      <w:p>
        <w:pPr>
          <w:pStyle w:val="13"/>
          <w:jc w:val="center"/>
          <w:rPr>
            <w:ins w:id="2" w:author="THU" w:date="2017-05-13T21:17:00Z"/>
          </w:rPr>
        </w:pPr>
        <w:ins w:id="4" w:author="THU" w:date="2017-05-13T21:17:00Z">
          <w:r>
            <w:rPr/>
            <w:fldChar w:fldCharType="begin"/>
          </w:r>
        </w:ins>
        <w:ins w:id="5" w:author="THU" w:date="2017-05-13T21:17:00Z">
          <w:r>
            <w:rPr/>
            <w:instrText xml:space="preserve">PAGE   \* MERGEFORMAT</w:instrText>
          </w:r>
        </w:ins>
        <w:ins w:id="6" w:author="THU" w:date="2017-05-13T21:17:00Z">
          <w:r>
            <w:rPr/>
            <w:fldChar w:fldCharType="separate"/>
          </w:r>
        </w:ins>
        <w:r>
          <w:rPr>
            <w:lang w:val="zh-CN"/>
          </w:rPr>
          <w:t>-</w:t>
        </w:r>
        <w:r>
          <w:t xml:space="preserve"> 1 -</w:t>
        </w:r>
        <w:ins w:id="7" w:author="THU" w:date="2017-05-13T21:17:00Z">
          <w:r>
            <w:rPr/>
            <w:fldChar w:fldCharType="end"/>
          </w:r>
        </w:ins>
      </w:p>
      <w:customXmlInsRangeStart w:id="9" w:author="THU" w:date="2017-05-13T21:17:00Z"/>
    </w:sdtContent>
  </w:sdt>
  <w:customXmlInsRangeEnd w:id="9"/>
  <w:p>
    <w:pPr>
      <w:pStyle w:val="1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HU">
    <w15:presenceInfo w15:providerId="None" w15:userId="T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1013B9"/>
    <w:rsid w:val="0010152B"/>
    <w:rsid w:val="001040F3"/>
    <w:rsid w:val="00107176"/>
    <w:rsid w:val="00107337"/>
    <w:rsid w:val="001073B8"/>
    <w:rsid w:val="00107532"/>
    <w:rsid w:val="00107F92"/>
    <w:rsid w:val="001112B5"/>
    <w:rsid w:val="001119FB"/>
    <w:rsid w:val="00113C6B"/>
    <w:rsid w:val="001147F3"/>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47F4"/>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0679"/>
    <w:rsid w:val="002A35AC"/>
    <w:rsid w:val="002A6CBD"/>
    <w:rsid w:val="002A79BC"/>
    <w:rsid w:val="002C0048"/>
    <w:rsid w:val="002C17E5"/>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2D7A"/>
    <w:rsid w:val="0036517E"/>
    <w:rsid w:val="00365B6D"/>
    <w:rsid w:val="00366172"/>
    <w:rsid w:val="0036769E"/>
    <w:rsid w:val="00367ADB"/>
    <w:rsid w:val="00373C75"/>
    <w:rsid w:val="00376FAB"/>
    <w:rsid w:val="0037763C"/>
    <w:rsid w:val="00377F67"/>
    <w:rsid w:val="00381C42"/>
    <w:rsid w:val="00387213"/>
    <w:rsid w:val="00387D20"/>
    <w:rsid w:val="00390D3D"/>
    <w:rsid w:val="00391CDC"/>
    <w:rsid w:val="00392D88"/>
    <w:rsid w:val="0039330B"/>
    <w:rsid w:val="00394BF6"/>
    <w:rsid w:val="003968EA"/>
    <w:rsid w:val="003979AA"/>
    <w:rsid w:val="003A108E"/>
    <w:rsid w:val="003A1BC1"/>
    <w:rsid w:val="003A30A2"/>
    <w:rsid w:val="003A363C"/>
    <w:rsid w:val="003A4EDD"/>
    <w:rsid w:val="003A6E6B"/>
    <w:rsid w:val="003B1481"/>
    <w:rsid w:val="003C039B"/>
    <w:rsid w:val="003C2A42"/>
    <w:rsid w:val="003C44F0"/>
    <w:rsid w:val="003C7F9A"/>
    <w:rsid w:val="003D708B"/>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4579"/>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5FA4"/>
    <w:rsid w:val="004A60DD"/>
    <w:rsid w:val="004B0CEC"/>
    <w:rsid w:val="004B17E1"/>
    <w:rsid w:val="004B2DB2"/>
    <w:rsid w:val="004C130A"/>
    <w:rsid w:val="004C1F34"/>
    <w:rsid w:val="004C4077"/>
    <w:rsid w:val="004C689D"/>
    <w:rsid w:val="004C7968"/>
    <w:rsid w:val="004D198C"/>
    <w:rsid w:val="004D4C5E"/>
    <w:rsid w:val="004D617A"/>
    <w:rsid w:val="004D7784"/>
    <w:rsid w:val="004D7E49"/>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5B4D"/>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2E9C"/>
    <w:rsid w:val="0062355B"/>
    <w:rsid w:val="00626296"/>
    <w:rsid w:val="0062679F"/>
    <w:rsid w:val="00630176"/>
    <w:rsid w:val="00630DB7"/>
    <w:rsid w:val="006329A4"/>
    <w:rsid w:val="00632D65"/>
    <w:rsid w:val="00634569"/>
    <w:rsid w:val="006429C6"/>
    <w:rsid w:val="00645E46"/>
    <w:rsid w:val="006509D7"/>
    <w:rsid w:val="00651AD6"/>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23DF"/>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34DC0"/>
    <w:rsid w:val="00B432A7"/>
    <w:rsid w:val="00B5110F"/>
    <w:rsid w:val="00B51EA1"/>
    <w:rsid w:val="00B52EF3"/>
    <w:rsid w:val="00B548A4"/>
    <w:rsid w:val="00B56490"/>
    <w:rsid w:val="00B5652A"/>
    <w:rsid w:val="00B57A29"/>
    <w:rsid w:val="00B62983"/>
    <w:rsid w:val="00B62BAD"/>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7537"/>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1498"/>
    <w:rsid w:val="00CD33FD"/>
    <w:rsid w:val="00CE236C"/>
    <w:rsid w:val="00CE2D86"/>
    <w:rsid w:val="00CE45F6"/>
    <w:rsid w:val="00CE49DF"/>
    <w:rsid w:val="00CE5DF2"/>
    <w:rsid w:val="00CE7206"/>
    <w:rsid w:val="00CF1329"/>
    <w:rsid w:val="00CF21DB"/>
    <w:rsid w:val="00CF23C9"/>
    <w:rsid w:val="00CF2D6F"/>
    <w:rsid w:val="00CF6724"/>
    <w:rsid w:val="00D04220"/>
    <w:rsid w:val="00D1080D"/>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B71E9"/>
    <w:rsid w:val="00DC0411"/>
    <w:rsid w:val="00DC5CBC"/>
    <w:rsid w:val="00DD11B7"/>
    <w:rsid w:val="00DD29D7"/>
    <w:rsid w:val="00DD510B"/>
    <w:rsid w:val="00DD5B66"/>
    <w:rsid w:val="00DD5FDD"/>
    <w:rsid w:val="00DD6AB1"/>
    <w:rsid w:val="00DD7F82"/>
    <w:rsid w:val="00DE28D9"/>
    <w:rsid w:val="00DE2C29"/>
    <w:rsid w:val="00DE7B5C"/>
    <w:rsid w:val="00DF4258"/>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0CF6"/>
    <w:rsid w:val="00F32A52"/>
    <w:rsid w:val="00F339BC"/>
    <w:rsid w:val="00F34E05"/>
    <w:rsid w:val="00F41A56"/>
    <w:rsid w:val="00F44B74"/>
    <w:rsid w:val="00F463BA"/>
    <w:rsid w:val="00F47256"/>
    <w:rsid w:val="00F547FB"/>
    <w:rsid w:val="00F636DA"/>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367A3B38"/>
    <w:rsid w:val="4E9F73FB"/>
    <w:rsid w:val="54E86EE4"/>
    <w:rsid w:val="5CF01AC2"/>
    <w:rsid w:val="5D4E5899"/>
    <w:rsid w:val="60895EF6"/>
    <w:rsid w:val="69955344"/>
    <w:rsid w:val="6D5C7B39"/>
    <w:rsid w:val="7BF23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4"/>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29"/>
    <w:semiHidden/>
    <w:qFormat/>
    <w:uiPriority w:val="0"/>
    <w:rPr>
      <w:rFonts w:ascii="宋体"/>
      <w:kern w:val="0"/>
      <w:sz w:val="18"/>
      <w:szCs w:val="18"/>
    </w:rPr>
  </w:style>
  <w:style w:type="paragraph" w:styleId="6">
    <w:name w:val="annotation text"/>
    <w:basedOn w:val="1"/>
    <w:link w:val="50"/>
    <w:qFormat/>
    <w:uiPriority w:val="0"/>
    <w:pPr>
      <w:spacing w:line="460" w:lineRule="exact"/>
      <w:jc w:val="left"/>
    </w:pPr>
    <w:rPr>
      <w:rFonts w:ascii="Calibri" w:hAnsi="Calibri"/>
      <w:szCs w:val="21"/>
    </w:rPr>
  </w:style>
  <w:style w:type="paragraph" w:styleId="7">
    <w:name w:val="Body Text"/>
    <w:basedOn w:val="1"/>
    <w:link w:val="45"/>
    <w:qFormat/>
    <w:uiPriority w:val="0"/>
    <w:pPr>
      <w:spacing w:line="380" w:lineRule="exact"/>
    </w:pPr>
    <w:rPr>
      <w:rFonts w:eastAsia="仿宋_GB2312"/>
      <w:sz w:val="28"/>
      <w:szCs w:val="20"/>
    </w:rPr>
  </w:style>
  <w:style w:type="paragraph" w:styleId="8">
    <w:name w:val="Body Text Indent"/>
    <w:basedOn w:val="1"/>
    <w:link w:val="38"/>
    <w:qFormat/>
    <w:uiPriority w:val="0"/>
    <w:pPr>
      <w:spacing w:line="460" w:lineRule="exact"/>
      <w:ind w:firstLine="630"/>
    </w:pPr>
    <w:rPr>
      <w:rFonts w:ascii="仿宋_GB2312" w:eastAsia="仿宋_GB2312"/>
      <w:sz w:val="32"/>
      <w:szCs w:val="20"/>
    </w:rPr>
  </w:style>
  <w:style w:type="paragraph" w:styleId="9">
    <w:name w:val="Plain Text"/>
    <w:basedOn w:val="1"/>
    <w:link w:val="44"/>
    <w:qFormat/>
    <w:uiPriority w:val="0"/>
    <w:pPr>
      <w:spacing w:line="460" w:lineRule="exact"/>
    </w:pPr>
    <w:rPr>
      <w:rFonts w:ascii="宋体" w:hAnsi="Courier New"/>
      <w:szCs w:val="20"/>
    </w:rPr>
  </w:style>
  <w:style w:type="paragraph" w:styleId="10">
    <w:name w:val="Date"/>
    <w:basedOn w:val="1"/>
    <w:next w:val="1"/>
    <w:link w:val="32"/>
    <w:qFormat/>
    <w:uiPriority w:val="0"/>
    <w:pPr>
      <w:ind w:left="100" w:leftChars="2500"/>
    </w:pPr>
    <w:rPr>
      <w:kern w:val="0"/>
      <w:sz w:val="24"/>
    </w:rPr>
  </w:style>
  <w:style w:type="paragraph" w:styleId="11">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31"/>
    <w:semiHidden/>
    <w:qFormat/>
    <w:uiPriority w:val="0"/>
    <w:rPr>
      <w:kern w:val="0"/>
      <w:sz w:val="18"/>
      <w:szCs w:val="18"/>
    </w:rPr>
  </w:style>
  <w:style w:type="paragraph" w:styleId="13">
    <w:name w:val="footer"/>
    <w:basedOn w:val="1"/>
    <w:link w:val="28"/>
    <w:qFormat/>
    <w:uiPriority w:val="99"/>
    <w:pPr>
      <w:tabs>
        <w:tab w:val="center" w:pos="4153"/>
        <w:tab w:val="right" w:pos="8306"/>
      </w:tabs>
      <w:snapToGrid w:val="0"/>
      <w:jc w:val="left"/>
    </w:pPr>
    <w:rPr>
      <w:kern w:val="0"/>
      <w:sz w:val="18"/>
      <w:szCs w:val="18"/>
    </w:rPr>
  </w:style>
  <w:style w:type="paragraph" w:styleId="14">
    <w:name w:val="header"/>
    <w:basedOn w:val="1"/>
    <w:link w:val="27"/>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35"/>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0"/>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1"/>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qFormat/>
    <w:uiPriority w:val="0"/>
    <w:rPr>
      <w:rFonts w:cs="Times New Roman"/>
    </w:rPr>
  </w:style>
  <w:style w:type="character" w:styleId="22">
    <w:name w:val="FollowedHyperlink"/>
    <w:qFormat/>
    <w:uiPriority w:val="0"/>
    <w:rPr>
      <w:rFonts w:cs="Times New Roman"/>
      <w:color w:val="800080"/>
      <w:u w:val="single"/>
    </w:rPr>
  </w:style>
  <w:style w:type="character" w:styleId="23">
    <w:name w:val="Hyperlink"/>
    <w:qFormat/>
    <w:uiPriority w:val="0"/>
    <w:rPr>
      <w:rFonts w:cs="Times New Roman"/>
      <w:color w:val="1B227E"/>
      <w:u w:val="none"/>
    </w:rPr>
  </w:style>
  <w:style w:type="character" w:styleId="24">
    <w:name w:val="annotation reference"/>
    <w:semiHidden/>
    <w:qFormat/>
    <w:uiPriority w:val="0"/>
    <w:rPr>
      <w:rFonts w:cs="Times New Roman"/>
      <w:sz w:val="21"/>
      <w:szCs w:val="21"/>
    </w:rPr>
  </w:style>
  <w:style w:type="character" w:styleId="25">
    <w:name w:val="footnote reference"/>
    <w:semiHidden/>
    <w:qFormat/>
    <w:uiPriority w:val="0"/>
    <w:rPr>
      <w:rFonts w:cs="Times New Roman"/>
      <w:vertAlign w:val="superscript"/>
    </w:rPr>
  </w:style>
  <w:style w:type="paragraph" w:customStyle="1" w:styleId="26">
    <w:name w:val="列出段落1"/>
    <w:basedOn w:val="1"/>
    <w:qFormat/>
    <w:uiPriority w:val="0"/>
    <w:pPr>
      <w:ind w:firstLine="420" w:firstLineChars="200"/>
    </w:pPr>
  </w:style>
  <w:style w:type="character" w:customStyle="1" w:styleId="27">
    <w:name w:val="页眉 Char"/>
    <w:link w:val="14"/>
    <w:qFormat/>
    <w:locked/>
    <w:uiPriority w:val="0"/>
    <w:rPr>
      <w:rFonts w:cs="Times New Roman"/>
      <w:sz w:val="18"/>
      <w:szCs w:val="18"/>
    </w:rPr>
  </w:style>
  <w:style w:type="character" w:customStyle="1" w:styleId="28">
    <w:name w:val="页脚 Char"/>
    <w:link w:val="13"/>
    <w:qFormat/>
    <w:locked/>
    <w:uiPriority w:val="99"/>
    <w:rPr>
      <w:rFonts w:cs="Times New Roman"/>
      <w:sz w:val="18"/>
      <w:szCs w:val="18"/>
    </w:rPr>
  </w:style>
  <w:style w:type="character" w:customStyle="1" w:styleId="29">
    <w:name w:val="文档结构图 Char"/>
    <w:link w:val="5"/>
    <w:qFormat/>
    <w:locked/>
    <w:uiPriority w:val="0"/>
    <w:rPr>
      <w:rFonts w:ascii="宋体" w:cs="Times New Roman"/>
      <w:sz w:val="18"/>
      <w:szCs w:val="18"/>
    </w:rPr>
  </w:style>
  <w:style w:type="character" w:customStyle="1" w:styleId="30">
    <w:name w:val="标题 1 Char"/>
    <w:link w:val="2"/>
    <w:qFormat/>
    <w:locked/>
    <w:uiPriority w:val="0"/>
    <w:rPr>
      <w:rFonts w:cs="Times New Roman"/>
      <w:b/>
      <w:bCs/>
      <w:kern w:val="44"/>
      <w:sz w:val="44"/>
      <w:szCs w:val="44"/>
    </w:rPr>
  </w:style>
  <w:style w:type="character" w:customStyle="1" w:styleId="31">
    <w:name w:val="批注框文本 Char"/>
    <w:link w:val="12"/>
    <w:qFormat/>
    <w:locked/>
    <w:uiPriority w:val="0"/>
    <w:rPr>
      <w:rFonts w:cs="Times New Roman"/>
      <w:sz w:val="18"/>
      <w:szCs w:val="18"/>
    </w:rPr>
  </w:style>
  <w:style w:type="character" w:customStyle="1" w:styleId="32">
    <w:name w:val="日期 Char"/>
    <w:link w:val="10"/>
    <w:qFormat/>
    <w:locked/>
    <w:uiPriority w:val="0"/>
    <w:rPr>
      <w:rFonts w:cs="Times New Roman"/>
      <w:sz w:val="24"/>
      <w:szCs w:val="24"/>
    </w:rPr>
  </w:style>
  <w:style w:type="paragraph" w:customStyle="1" w:styleId="33">
    <w:name w:val="修订1"/>
    <w:hidden/>
    <w:qFormat/>
    <w:uiPriority w:val="0"/>
    <w:rPr>
      <w:rFonts w:ascii="Times New Roman" w:hAnsi="Times New Roman" w:eastAsia="宋体" w:cs="Times New Roman"/>
      <w:kern w:val="2"/>
      <w:sz w:val="21"/>
      <w:szCs w:val="24"/>
      <w:lang w:val="en-US" w:eastAsia="zh-CN" w:bidi="ar-SA"/>
    </w:rPr>
  </w:style>
  <w:style w:type="character" w:customStyle="1" w:styleId="34">
    <w:name w:val="标题 2 Char"/>
    <w:link w:val="3"/>
    <w:qFormat/>
    <w:locked/>
    <w:uiPriority w:val="0"/>
    <w:rPr>
      <w:rFonts w:ascii="宋体" w:eastAsia="宋体" w:cs="Times New Roman"/>
      <w:b/>
      <w:bCs/>
      <w:sz w:val="36"/>
      <w:szCs w:val="36"/>
    </w:rPr>
  </w:style>
  <w:style w:type="character" w:customStyle="1" w:styleId="35">
    <w:name w:val="正文文本缩进 3 Char"/>
    <w:link w:val="15"/>
    <w:qFormat/>
    <w:locked/>
    <w:uiPriority w:val="0"/>
    <w:rPr>
      <w:rFonts w:ascii="宋体" w:eastAsia="宋体" w:cs="Times New Roman"/>
      <w:sz w:val="21"/>
      <w:szCs w:val="21"/>
    </w:rPr>
  </w:style>
  <w:style w:type="paragraph" w:customStyle="1" w:styleId="36">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7">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character" w:customStyle="1" w:styleId="38">
    <w:name w:val="正文文本缩进 Char"/>
    <w:link w:val="8"/>
    <w:qFormat/>
    <w:locked/>
    <w:uiPriority w:val="0"/>
    <w:rPr>
      <w:rFonts w:ascii="仿宋_GB2312" w:eastAsia="仿宋_GB2312" w:cs="Times New Roman"/>
      <w:kern w:val="2"/>
      <w:sz w:val="32"/>
    </w:rPr>
  </w:style>
  <w:style w:type="paragraph" w:customStyle="1" w:styleId="39">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40">
    <w:name w:val="主题词"/>
    <w:basedOn w:val="1"/>
    <w:qFormat/>
    <w:uiPriority w:val="0"/>
    <w:pPr>
      <w:adjustRightInd w:val="0"/>
      <w:spacing w:line="440" w:lineRule="atLeast"/>
      <w:jc w:val="left"/>
      <w:textAlignment w:val="bottom"/>
    </w:pPr>
    <w:rPr>
      <w:rFonts w:eastAsia="黑体"/>
      <w:kern w:val="0"/>
      <w:sz w:val="28"/>
      <w:szCs w:val="20"/>
    </w:rPr>
  </w:style>
  <w:style w:type="paragraph" w:customStyle="1" w:styleId="41">
    <w:name w:val="函号"/>
    <w:basedOn w:val="1"/>
    <w:qFormat/>
    <w:uiPriority w:val="0"/>
    <w:pPr>
      <w:adjustRightInd w:val="0"/>
      <w:spacing w:line="440" w:lineRule="atLeast"/>
      <w:jc w:val="right"/>
      <w:textAlignment w:val="bottom"/>
    </w:pPr>
    <w:rPr>
      <w:rFonts w:eastAsia="仿宋_GB2312"/>
      <w:kern w:val="0"/>
      <w:sz w:val="28"/>
      <w:szCs w:val="20"/>
    </w:rPr>
  </w:style>
  <w:style w:type="character" w:customStyle="1" w:styleId="42">
    <w:name w:val="正文文本缩进 2 Char"/>
    <w:link w:val="11"/>
    <w:qFormat/>
    <w:locked/>
    <w:uiPriority w:val="0"/>
    <w:rPr>
      <w:rFonts w:ascii="仿宋_GB2312" w:eastAsia="仿宋_GB2312" w:cs="Times New Roman"/>
      <w:sz w:val="28"/>
    </w:rPr>
  </w:style>
  <w:style w:type="paragraph" w:customStyle="1" w:styleId="43">
    <w:name w:val="文号"/>
    <w:basedOn w:val="1"/>
    <w:qFormat/>
    <w:uiPriority w:val="0"/>
    <w:pPr>
      <w:adjustRightInd w:val="0"/>
      <w:spacing w:before="2550" w:line="360" w:lineRule="atLeast"/>
      <w:jc w:val="center"/>
      <w:textAlignment w:val="baseline"/>
    </w:pPr>
    <w:rPr>
      <w:rFonts w:eastAsia="仿宋_GB2312"/>
      <w:kern w:val="0"/>
      <w:sz w:val="28"/>
      <w:szCs w:val="20"/>
    </w:rPr>
  </w:style>
  <w:style w:type="character" w:customStyle="1" w:styleId="44">
    <w:name w:val="纯文本 Char"/>
    <w:link w:val="9"/>
    <w:qFormat/>
    <w:locked/>
    <w:uiPriority w:val="0"/>
    <w:rPr>
      <w:rFonts w:ascii="宋体" w:hAnsi="Courier New" w:cs="Times New Roman"/>
      <w:kern w:val="2"/>
      <w:sz w:val="21"/>
    </w:rPr>
  </w:style>
  <w:style w:type="character" w:customStyle="1" w:styleId="45">
    <w:name w:val="正文文本 Char"/>
    <w:link w:val="7"/>
    <w:qFormat/>
    <w:locked/>
    <w:uiPriority w:val="0"/>
    <w:rPr>
      <w:rFonts w:eastAsia="仿宋_GB2312" w:cs="Times New Roman"/>
      <w:kern w:val="2"/>
      <w:sz w:val="28"/>
    </w:rPr>
  </w:style>
  <w:style w:type="character" w:customStyle="1" w:styleId="46">
    <w:name w:val="unnamed2"/>
    <w:qFormat/>
    <w:uiPriority w:val="0"/>
    <w:rPr>
      <w:rFonts w:cs="Times New Roman"/>
    </w:rPr>
  </w:style>
  <w:style w:type="character" w:customStyle="1" w:styleId="47">
    <w:name w:val="high-light-bg4"/>
    <w:qFormat/>
    <w:uiPriority w:val="0"/>
    <w:rPr>
      <w:rFonts w:cs="Times New Roman"/>
    </w:rPr>
  </w:style>
  <w:style w:type="paragraph" w:customStyle="1" w:styleId="4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character" w:customStyle="1" w:styleId="49">
    <w:name w:val="edited2"/>
    <w:qFormat/>
    <w:uiPriority w:val="0"/>
    <w:rPr>
      <w:rFonts w:cs="Times New Roman"/>
    </w:rPr>
  </w:style>
  <w:style w:type="character" w:customStyle="1" w:styleId="50">
    <w:name w:val="批注文字 Char"/>
    <w:link w:val="6"/>
    <w:qFormat/>
    <w:locked/>
    <w:uiPriority w:val="0"/>
    <w:rPr>
      <w:rFonts w:ascii="Calibri" w:hAnsi="Calibri" w:cs="Calibri"/>
      <w:kern w:val="2"/>
      <w:sz w:val="21"/>
      <w:szCs w:val="21"/>
    </w:rPr>
  </w:style>
  <w:style w:type="character" w:customStyle="1" w:styleId="51">
    <w:name w:val="批注主题 Char"/>
    <w:link w:val="17"/>
    <w:semiHidden/>
    <w:qFormat/>
    <w:locked/>
    <w:uiPriority w:val="0"/>
    <w:rPr>
      <w:rFonts w:ascii="Calibri" w:hAnsi="Calibri" w:cs="Calibri"/>
      <w:b/>
      <w:bCs/>
      <w:kern w:val="2"/>
      <w:sz w:val="21"/>
      <w:szCs w:val="21"/>
    </w:rPr>
  </w:style>
  <w:style w:type="paragraph" w:customStyle="1" w:styleId="52">
    <w:name w:val="修订2"/>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D2F1D2-D74A-4437-8A81-9A7E2F0112DD}">
  <ds:schemaRefs/>
</ds:datastoreItem>
</file>

<file path=docProps/app.xml><?xml version="1.0" encoding="utf-8"?>
<Properties xmlns="http://schemas.openxmlformats.org/officeDocument/2006/extended-properties" xmlns:vt="http://schemas.openxmlformats.org/officeDocument/2006/docPropsVTypes">
  <Template>Normal</Template>
  <Company>sdu</Company>
  <Pages>29</Pages>
  <Words>3256</Words>
  <Characters>18560</Characters>
  <Lines>154</Lines>
  <Paragraphs>43</Paragraphs>
  <TotalTime>50</TotalTime>
  <ScaleCrop>false</ScaleCrop>
  <LinksUpToDate>false</LinksUpToDate>
  <CharactersWithSpaces>21773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2017-06-08T09:55:00Z</dcterms:created>
  <dc:creator>LIU</dc:creator>
  <cp:lastModifiedBy>Kalle</cp:lastModifiedBy>
  <cp:lastPrinted>2016-09-26T02:07:00Z</cp:lastPrinted>
  <dcterms:modified xsi:type="dcterms:W3CDTF">2022-03-07T02:45:29Z</dcterms:modified>
  <dc:title>*</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55A24C342A4D4FB1ADE8346DE109C7B4</vt:lpwstr>
  </property>
</Properties>
</file>